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3B8" w:rsidRDefault="00E739E4" w:rsidP="004570DF">
      <w:pPr>
        <w:pStyle w:val="Titre1"/>
        <w:jc w:val="both"/>
      </w:pPr>
      <w:r>
        <w:t>Compte rendu réunion WP2 de</w:t>
      </w:r>
      <w:r w:rsidRPr="00E739E4">
        <w:rPr>
          <w:i/>
        </w:rPr>
        <w:t xml:space="preserve"> France HADRON</w:t>
      </w:r>
    </w:p>
    <w:p w:rsidR="00E739E4" w:rsidRDefault="00E739E4" w:rsidP="004570DF">
      <w:pPr>
        <w:pStyle w:val="Titre1"/>
        <w:jc w:val="both"/>
      </w:pPr>
      <w:r>
        <w:t xml:space="preserve">CNRS </w:t>
      </w:r>
      <w:r w:rsidR="0055591D">
        <w:t>Michel-Ange</w:t>
      </w:r>
      <w:r>
        <w:t>, Paris le 04/03/2015</w:t>
      </w:r>
    </w:p>
    <w:p w:rsidR="00E739E4" w:rsidRDefault="00E739E4" w:rsidP="004570DF">
      <w:pPr>
        <w:jc w:val="both"/>
      </w:pPr>
    </w:p>
    <w:p w:rsidR="0055591D" w:rsidRDefault="00E739E4" w:rsidP="004570DF">
      <w:pPr>
        <w:pStyle w:val="Titre2"/>
        <w:jc w:val="both"/>
      </w:pPr>
      <w:r>
        <w:t xml:space="preserve">Présents : </w:t>
      </w:r>
    </w:p>
    <w:p w:rsidR="0055591D" w:rsidRDefault="00E739E4" w:rsidP="004570DF">
      <w:pPr>
        <w:jc w:val="both"/>
      </w:pPr>
      <w:r>
        <w:t>D</w:t>
      </w:r>
      <w:r w:rsidR="000C0CB6">
        <w:t>aniel</w:t>
      </w:r>
      <w:r>
        <w:t xml:space="preserve"> </w:t>
      </w:r>
      <w:proofErr w:type="spellStart"/>
      <w:r>
        <w:t>Cussol</w:t>
      </w:r>
      <w:proofErr w:type="spellEnd"/>
      <w:r>
        <w:t xml:space="preserve"> ; </w:t>
      </w:r>
      <w:r w:rsidR="00277911">
        <w:t>Christian</w:t>
      </w:r>
      <w:r>
        <w:t xml:space="preserve"> Finck ; Marie </w:t>
      </w:r>
      <w:proofErr w:type="spellStart"/>
      <w:r>
        <w:t>V</w:t>
      </w:r>
      <w:r w:rsidR="00277911">
        <w:t>ansta</w:t>
      </w:r>
      <w:r>
        <w:t>lle</w:t>
      </w:r>
      <w:proofErr w:type="spellEnd"/>
      <w:r>
        <w:t xml:space="preserve"> ; </w:t>
      </w:r>
      <w:r w:rsidR="00277911">
        <w:t xml:space="preserve">Clovis </w:t>
      </w:r>
      <w:proofErr w:type="spellStart"/>
      <w:r w:rsidR="00277911">
        <w:t>Divay</w:t>
      </w:r>
      <w:proofErr w:type="spellEnd"/>
      <w:r w:rsidR="00277911">
        <w:t xml:space="preserve"> ; Samuel Salvador ; Marc </w:t>
      </w:r>
      <w:proofErr w:type="spellStart"/>
      <w:r w:rsidR="00277911">
        <w:t>Labalme</w:t>
      </w:r>
      <w:proofErr w:type="spellEnd"/>
      <w:r w:rsidR="00AB731A">
        <w:t xml:space="preserve"> ; Jean-Marc </w:t>
      </w:r>
      <w:proofErr w:type="spellStart"/>
      <w:r w:rsidR="00AB731A">
        <w:t>Fontbonne</w:t>
      </w:r>
      <w:proofErr w:type="spellEnd"/>
      <w:r w:rsidR="00AB731A">
        <w:t xml:space="preserve"> ; Gérard </w:t>
      </w:r>
      <w:proofErr w:type="spellStart"/>
      <w:r w:rsidR="00AB731A">
        <w:t>Montarou</w:t>
      </w:r>
      <w:proofErr w:type="spellEnd"/>
      <w:r w:rsidR="00AB731A">
        <w:t xml:space="preserve"> ; Aurélie </w:t>
      </w:r>
      <w:proofErr w:type="spellStart"/>
      <w:r w:rsidR="00AB731A">
        <w:t>Gérault</w:t>
      </w:r>
      <w:proofErr w:type="spellEnd"/>
      <w:r w:rsidR="00AB731A">
        <w:t xml:space="preserve"> ; Lydia </w:t>
      </w:r>
      <w:proofErr w:type="spellStart"/>
      <w:r w:rsidR="00AB731A">
        <w:t>Maigne</w:t>
      </w:r>
      <w:proofErr w:type="spellEnd"/>
      <w:r w:rsidR="00AB731A">
        <w:t xml:space="preserve"> ; </w:t>
      </w:r>
      <w:r w:rsidR="0055591D">
        <w:t xml:space="preserve">Denis Dauvergne ; Jean-Charles Blouzard ; Irène </w:t>
      </w:r>
      <w:proofErr w:type="spellStart"/>
      <w:r w:rsidR="0055591D">
        <w:t>Buvat</w:t>
      </w:r>
      <w:proofErr w:type="spellEnd"/>
      <w:r w:rsidR="0055591D">
        <w:t xml:space="preserve"> et Jacques </w:t>
      </w:r>
      <w:proofErr w:type="spellStart"/>
      <w:r w:rsidR="0055591D">
        <w:t>Balosso</w:t>
      </w:r>
      <w:proofErr w:type="spellEnd"/>
      <w:r w:rsidR="0055591D">
        <w:t xml:space="preserve"> arrivés à 14h.</w:t>
      </w:r>
    </w:p>
    <w:p w:rsidR="0055591D" w:rsidRPr="0055591D" w:rsidRDefault="0055591D" w:rsidP="004570DF">
      <w:pPr>
        <w:jc w:val="both"/>
      </w:pPr>
    </w:p>
    <w:p w:rsidR="0055591D" w:rsidRDefault="0055591D" w:rsidP="004570DF">
      <w:pPr>
        <w:pStyle w:val="Titre2"/>
        <w:jc w:val="both"/>
      </w:pPr>
      <w:r>
        <w:t xml:space="preserve">Introduction : Daniel </w:t>
      </w:r>
      <w:proofErr w:type="spellStart"/>
      <w:r>
        <w:t>Cussol</w:t>
      </w:r>
      <w:proofErr w:type="spellEnd"/>
    </w:p>
    <w:p w:rsidR="0055591D" w:rsidRDefault="0055591D" w:rsidP="004570DF">
      <w:pPr>
        <w:pStyle w:val="Sansinterligne"/>
        <w:jc w:val="both"/>
      </w:pPr>
      <w:r>
        <w:t xml:space="preserve">M. </w:t>
      </w:r>
      <w:proofErr w:type="spellStart"/>
      <w:r>
        <w:t>Cussol</w:t>
      </w:r>
      <w:proofErr w:type="spellEnd"/>
      <w:r>
        <w:t xml:space="preserve"> fait une introduction rapide rappelant à tous les contenus des 4 thématiques du WP2 :</w:t>
      </w:r>
    </w:p>
    <w:p w:rsidR="0055591D" w:rsidRDefault="0055591D" w:rsidP="004570DF">
      <w:pPr>
        <w:pStyle w:val="Sansinterligne"/>
        <w:numPr>
          <w:ilvl w:val="0"/>
          <w:numId w:val="1"/>
        </w:numPr>
        <w:jc w:val="both"/>
      </w:pPr>
      <w:r>
        <w:t>WP2.1 : Mesures des sections efficaces et données biologiques de référence</w:t>
      </w:r>
    </w:p>
    <w:p w:rsidR="0055591D" w:rsidRDefault="0055591D" w:rsidP="004570DF">
      <w:pPr>
        <w:pStyle w:val="Sansinterligne"/>
        <w:numPr>
          <w:ilvl w:val="0"/>
          <w:numId w:val="1"/>
        </w:numPr>
        <w:jc w:val="both"/>
      </w:pPr>
      <w:r>
        <w:t>WP2.2 et WP2.3 : Développement de modèles de collision nucléaire et développement d’un outil de simulation Monte Carlo pour, à terme, une intégration dans un TPS.</w:t>
      </w:r>
    </w:p>
    <w:p w:rsidR="0055591D" w:rsidRDefault="0055591D" w:rsidP="004570DF">
      <w:pPr>
        <w:pStyle w:val="Sansinterligne"/>
        <w:numPr>
          <w:ilvl w:val="0"/>
          <w:numId w:val="1"/>
        </w:numPr>
        <w:jc w:val="both"/>
      </w:pPr>
      <w:r>
        <w:t xml:space="preserve">WP2.4 : Intégration d’images fonctionnelles, médicales, métaboliques et spectroscopique pour un meilleur </w:t>
      </w:r>
      <w:proofErr w:type="spellStart"/>
      <w:r>
        <w:t>contourage</w:t>
      </w:r>
      <w:proofErr w:type="spellEnd"/>
      <w:r>
        <w:t xml:space="preserve">. Echange, stockage, combinaison et traitement d’images. </w:t>
      </w:r>
      <w:r w:rsidR="00577C34">
        <w:t>O</w:t>
      </w:r>
      <w:r>
        <w:t xml:space="preserve">n note l’absence des équipes du </w:t>
      </w:r>
      <w:proofErr w:type="spellStart"/>
      <w:r>
        <w:t>Créatis</w:t>
      </w:r>
      <w:proofErr w:type="spellEnd"/>
      <w:r>
        <w:t xml:space="preserve"> </w:t>
      </w:r>
      <w:r w:rsidR="00C07943">
        <w:t>et de l’</w:t>
      </w:r>
      <w:proofErr w:type="spellStart"/>
      <w:r w:rsidR="00C07943">
        <w:t>IUCToulouse</w:t>
      </w:r>
      <w:proofErr w:type="spellEnd"/>
      <w:r w:rsidR="00C07943">
        <w:t xml:space="preserve"> </w:t>
      </w:r>
      <w:r w:rsidR="00577C34">
        <w:t xml:space="preserve">plus spécifiquement impliquées dans ce sous-WP. Le </w:t>
      </w:r>
      <w:proofErr w:type="spellStart"/>
      <w:r w:rsidR="00577C34">
        <w:t>Créatis</w:t>
      </w:r>
      <w:proofErr w:type="spellEnd"/>
      <w:r w:rsidR="00577C34">
        <w:t xml:space="preserve"> a choisi de ne pas se rendre à la réunion par manque de résultat probant à présenter.</w:t>
      </w:r>
      <w:r w:rsidR="00C07943">
        <w:t xml:space="preserve"> </w:t>
      </w:r>
      <w:r w:rsidR="003C4FFE">
        <w:t xml:space="preserve">Pas de réponse de l’IUCT suite à l’invitation. </w:t>
      </w:r>
      <w:r w:rsidR="00C07943">
        <w:t xml:space="preserve">Plus tard dans la discussion la question </w:t>
      </w:r>
      <w:r w:rsidR="003C4FFE">
        <w:t>vient :</w:t>
      </w:r>
      <w:r w:rsidR="00C07943">
        <w:t xml:space="preserve"> comment mieux intégrer ces équipes qui ne bénéficient pas de temps faisceau ou d’aide matériel. Pa</w:t>
      </w:r>
      <w:r w:rsidR="003C4FFE">
        <w:t>s de réponse à cette question pour le moment à par une augmentation de la communication en leur direction.</w:t>
      </w:r>
    </w:p>
    <w:p w:rsidR="00577C34" w:rsidRDefault="00577C34" w:rsidP="004570DF">
      <w:pPr>
        <w:jc w:val="both"/>
      </w:pPr>
      <w:r>
        <w:t xml:space="preserve">La présentation continue avec une description de l’organisation des salles du GANIL et des expérimentations réalisées les années précédentes. L’organisation </w:t>
      </w:r>
      <w:proofErr w:type="gramStart"/>
      <w:r>
        <w:t>des manip</w:t>
      </w:r>
      <w:proofErr w:type="gramEnd"/>
      <w:r>
        <w:t xml:space="preserve"> pour 2015 est aussi présentée. </w:t>
      </w:r>
    </w:p>
    <w:p w:rsidR="00577C34" w:rsidRDefault="00577C34" w:rsidP="004570DF">
      <w:pPr>
        <w:jc w:val="both"/>
      </w:pPr>
      <w:r>
        <w:t xml:space="preserve">Remarque : </w:t>
      </w:r>
      <w:r w:rsidR="004570DF">
        <w:t>ont déjà été observé</w:t>
      </w:r>
      <w:r>
        <w:t xml:space="preserve">, notamment dans le WP3, des  superpositions de thématiques ; ici au sein du WP2 il pourrait exister tel doublon entre les travaux de M. </w:t>
      </w:r>
      <w:proofErr w:type="spellStart"/>
      <w:r>
        <w:t>Beuve</w:t>
      </w:r>
      <w:proofErr w:type="spellEnd"/>
      <w:r>
        <w:t xml:space="preserve"> « simulation des effets physiques des particules accélérées au niveau biologique » et la thématique de </w:t>
      </w:r>
      <w:r w:rsidR="003043C7" w:rsidRPr="003043C7">
        <w:rPr>
          <w:color w:val="000000" w:themeColor="text1"/>
        </w:rPr>
        <w:t>Carine Laurent</w:t>
      </w:r>
      <w:r w:rsidRPr="003043C7">
        <w:rPr>
          <w:color w:val="000000" w:themeColor="text1"/>
        </w:rPr>
        <w:t xml:space="preserve"> « </w:t>
      </w:r>
      <w:r w:rsidR="00A55D1C" w:rsidRPr="003043C7">
        <w:rPr>
          <w:color w:val="000000" w:themeColor="text1"/>
        </w:rPr>
        <w:t>BIOGRAPHIC</w:t>
      </w:r>
      <w:r w:rsidRPr="003043C7">
        <w:rPr>
          <w:color w:val="000000" w:themeColor="text1"/>
        </w:rPr>
        <w:t> </w:t>
      </w:r>
      <w:r>
        <w:t>»</w:t>
      </w:r>
      <w:r w:rsidR="004570DF">
        <w:t xml:space="preserve"> (tous deux absents à la réunion)</w:t>
      </w:r>
      <w:r>
        <w:t>.  Une solution envisagée est d’augmenter la discussion entre les protagonistes pour un travail synergique.</w:t>
      </w:r>
    </w:p>
    <w:p w:rsidR="00A55D1C" w:rsidRDefault="00577C34" w:rsidP="004570DF">
      <w:pPr>
        <w:jc w:val="both"/>
      </w:pPr>
      <w:r>
        <w:t>Perspectives </w:t>
      </w:r>
      <w:r w:rsidR="004570DF">
        <w:t xml:space="preserve">globales </w:t>
      </w:r>
      <w:r>
        <w:t xml:space="preserve">: </w:t>
      </w:r>
    </w:p>
    <w:p w:rsidR="00577C34" w:rsidRDefault="00AB74D3" w:rsidP="004570DF">
      <w:pPr>
        <w:pStyle w:val="Paragraphedeliste"/>
        <w:numPr>
          <w:ilvl w:val="0"/>
          <w:numId w:val="2"/>
        </w:numPr>
        <w:jc w:val="both"/>
      </w:pPr>
      <w:r>
        <w:t xml:space="preserve">Malgré les travaux Spiral2 du GANIL, </w:t>
      </w:r>
      <w:r w:rsidRPr="00A55D1C">
        <w:rPr>
          <w:i/>
        </w:rPr>
        <w:t>France HADRON</w:t>
      </w:r>
      <w:r w:rsidR="00A55D1C">
        <w:t xml:space="preserve"> par l’intermédiaire de</w:t>
      </w:r>
      <w:r>
        <w:t xml:space="preserve"> D. </w:t>
      </w:r>
      <w:proofErr w:type="spellStart"/>
      <w:r>
        <w:t>Cussol</w:t>
      </w:r>
      <w:proofErr w:type="spellEnd"/>
      <w:r>
        <w:t xml:space="preserve"> va tenter de conserver ~20UT</w:t>
      </w:r>
      <w:r w:rsidR="00A55D1C">
        <w:t xml:space="preserve"> de faisceau carbone annuelles sur les thématiques déjà engagées : radiobiologie, détecteurs issus du WP4 et contamination par les neutrons (IRSN).</w:t>
      </w:r>
    </w:p>
    <w:p w:rsidR="00A55D1C" w:rsidRDefault="00A55D1C" w:rsidP="004570DF">
      <w:pPr>
        <w:pStyle w:val="Paragraphedeliste"/>
        <w:numPr>
          <w:ilvl w:val="0"/>
          <w:numId w:val="2"/>
        </w:numPr>
        <w:jc w:val="both"/>
      </w:pPr>
      <w:r>
        <w:t xml:space="preserve">Le projet </w:t>
      </w:r>
      <w:proofErr w:type="spellStart"/>
      <w:r>
        <w:t>ProtoBeamLine</w:t>
      </w:r>
      <w:proofErr w:type="spellEnd"/>
      <w:r>
        <w:t xml:space="preserve"> qui, si validé, agrègera autour d’une salle de traitement des instruments de contrôle de traitement ainsi que les outils de monitoring du faisceau.</w:t>
      </w:r>
    </w:p>
    <w:p w:rsidR="00A55D1C" w:rsidRDefault="00A55D1C" w:rsidP="004570DF">
      <w:pPr>
        <w:pStyle w:val="Paragraphedeliste"/>
        <w:numPr>
          <w:ilvl w:val="0"/>
          <w:numId w:val="2"/>
        </w:numPr>
        <w:jc w:val="both"/>
      </w:pPr>
      <w:r>
        <w:t xml:space="preserve">ARCHADE (carbone) : plusieurs salles dédiées à l’étude des ions léger, qui permettront </w:t>
      </w:r>
      <w:r w:rsidR="004570DF">
        <w:t xml:space="preserve">en particulier </w:t>
      </w:r>
      <w:r>
        <w:t>des expériences de fragmentation et le développement du détecteur FRACAS</w:t>
      </w:r>
      <w:r w:rsidR="004570DF">
        <w:t xml:space="preserve"> en plus généralement des expériences de physique et de radiobiologie</w:t>
      </w:r>
      <w:r>
        <w:t xml:space="preserve">. </w:t>
      </w:r>
      <w:r w:rsidR="004570DF">
        <w:t>Cependant</w:t>
      </w:r>
      <w:r>
        <w:t xml:space="preserve"> ces salles </w:t>
      </w:r>
      <w:r w:rsidR="004570DF">
        <w:t xml:space="preserve">ne </w:t>
      </w:r>
      <w:r>
        <w:t xml:space="preserve">sont encore </w:t>
      </w:r>
      <w:r w:rsidR="004570DF">
        <w:t>qu’</w:t>
      </w:r>
      <w:r>
        <w:t xml:space="preserve">au stade de plan et il convient de proposer </w:t>
      </w:r>
      <w:r w:rsidR="004570DF">
        <w:t xml:space="preserve">rapidement </w:t>
      </w:r>
      <w:r>
        <w:t>une liste des instruments et équipements désir</w:t>
      </w:r>
      <w:r w:rsidR="004570DF">
        <w:t>és par les expérimentateurs</w:t>
      </w:r>
      <w:r>
        <w:t>. Ce sujet, dépassant largement le cadre du seul WP2 devra faire l’objet d’</w:t>
      </w:r>
      <w:r w:rsidR="003C4FFE">
        <w:t xml:space="preserve">une réunion dédiée (Mai-Juin ?). G. </w:t>
      </w:r>
      <w:proofErr w:type="spellStart"/>
      <w:r w:rsidR="003C4FFE">
        <w:t>Montarou</w:t>
      </w:r>
      <w:proofErr w:type="spellEnd"/>
      <w:r w:rsidR="003C4FFE">
        <w:t xml:space="preserve"> demande quelle sera la structure du faisceau qui influencera les dispositifs expérimentaux de physique à installer. Plus d’information à venir… </w:t>
      </w:r>
    </w:p>
    <w:p w:rsidR="00A55D1C" w:rsidRDefault="00C07943" w:rsidP="004570DF">
      <w:pPr>
        <w:pStyle w:val="Paragraphedeliste"/>
        <w:numPr>
          <w:ilvl w:val="0"/>
          <w:numId w:val="2"/>
        </w:numPr>
        <w:jc w:val="both"/>
      </w:pPr>
      <w:r>
        <w:lastRenderedPageBreak/>
        <w:t xml:space="preserve">Au sujet des simulations informatiques, D. </w:t>
      </w:r>
      <w:proofErr w:type="spellStart"/>
      <w:r>
        <w:t>Cussol</w:t>
      </w:r>
      <w:proofErr w:type="spellEnd"/>
      <w:r>
        <w:t xml:space="preserve"> demande si, il ne serait pas pertinent, de choisir un logiciel de simulation commun à toutes les équipes. Cela permettrait à ces « modules » développés d’être facilement intégrables et échangeables. </w:t>
      </w:r>
    </w:p>
    <w:p w:rsidR="00C07943" w:rsidRDefault="00C07943" w:rsidP="004570DF">
      <w:pPr>
        <w:pStyle w:val="Paragraphedeliste"/>
        <w:numPr>
          <w:ilvl w:val="0"/>
          <w:numId w:val="2"/>
        </w:numPr>
        <w:jc w:val="both"/>
      </w:pPr>
      <w:r>
        <w:t>Viens ensuite la question de l’intégration de ces modules dans les TPS existants, et à une plus grande envergure</w:t>
      </w:r>
      <w:r w:rsidR="004570DF">
        <w:t>,</w:t>
      </w:r>
      <w:r>
        <w:t xml:space="preserve"> de savoir si un TPS développé par les équipes de France HADRON est pertinent. </w:t>
      </w:r>
    </w:p>
    <w:p w:rsidR="00C07943" w:rsidRDefault="00C07943" w:rsidP="004570DF">
      <w:pPr>
        <w:jc w:val="both"/>
      </w:pPr>
      <w:r>
        <w:t>Les deux dernières questions restent en suspens pour le moment.</w:t>
      </w:r>
    </w:p>
    <w:p w:rsidR="00C07943" w:rsidRPr="0055591D" w:rsidRDefault="003C4FFE" w:rsidP="004570DF">
      <w:pPr>
        <w:pStyle w:val="Titre2"/>
        <w:jc w:val="both"/>
      </w:pPr>
      <w:r>
        <w:t xml:space="preserve">Marc </w:t>
      </w:r>
      <w:proofErr w:type="spellStart"/>
      <w:r>
        <w:t>Labalmme</w:t>
      </w:r>
      <w:proofErr w:type="spellEnd"/>
      <w:r>
        <w:t> : Mesure de fragmentation du C</w:t>
      </w:r>
    </w:p>
    <w:p w:rsidR="0055591D" w:rsidRDefault="00F21C4F" w:rsidP="004570DF">
      <w:pPr>
        <w:jc w:val="both"/>
      </w:pPr>
      <w:r>
        <w:t xml:space="preserve">Aujourd’hui, les </w:t>
      </w:r>
      <w:r w:rsidR="004570DF">
        <w:t>simulations</w:t>
      </w:r>
      <w:r>
        <w:t xml:space="preserve"> MC ne peuvent reproduire les processus de fragmentation ni leurs effets sur les tissus biologiques à cause d’un manque de données expérimentales. Le LPC Caen réalisent les expériences nécessaires à combler ces lacunes et ce à toutes les énergies utilisées communément en carbonthérapie. Ont déjà été réalisées des expériences à 95 </w:t>
      </w:r>
      <w:proofErr w:type="spellStart"/>
      <w:r>
        <w:t>Mev</w:t>
      </w:r>
      <w:proofErr w:type="spellEnd"/>
      <w:r w:rsidR="00257E64">
        <w:t>/n</w:t>
      </w:r>
      <w:r>
        <w:t xml:space="preserve"> sur a panel de cibles fines</w:t>
      </w:r>
      <w:r w:rsidR="00B027F7">
        <w:t xml:space="preserve"> afin de </w:t>
      </w:r>
      <w:r>
        <w:t>mim</w:t>
      </w:r>
      <w:r w:rsidR="00B027F7">
        <w:t>er</w:t>
      </w:r>
      <w:r>
        <w:t xml:space="preserve"> </w:t>
      </w:r>
      <w:r w:rsidR="00B027F7">
        <w:t>jusqu’à</w:t>
      </w:r>
      <w:r>
        <w:t xml:space="preserve"> 95% des différentes compositions tissulaire humaines [C, H, O, Ti (~Ca)]</w:t>
      </w:r>
      <w:r w:rsidR="00B027F7">
        <w:t>. Les premières expériences ont été menées avec des mesures de section efficaces positionnées à des angles de 4 à 43° (2011) puis à 0° (2013).</w:t>
      </w:r>
    </w:p>
    <w:p w:rsidR="00B027F7" w:rsidRPr="0055591D" w:rsidRDefault="00B027F7" w:rsidP="004570DF">
      <w:pPr>
        <w:jc w:val="both"/>
      </w:pPr>
      <w:r w:rsidRPr="00B027F7">
        <w:rPr>
          <w:color w:val="FF0000"/>
        </w:rPr>
        <w:t xml:space="preserve">Là, j’ai été un peu perdu avec les d »sigma » </w:t>
      </w:r>
      <w:r>
        <w:rPr>
          <w:color w:val="FF0000"/>
        </w:rPr>
        <w:t>/</w:t>
      </w:r>
      <w:r w:rsidRPr="00B027F7">
        <w:rPr>
          <w:color w:val="FF0000"/>
        </w:rPr>
        <w:t xml:space="preserve"> d »</w:t>
      </w:r>
      <w:proofErr w:type="spellStart"/>
      <w:r w:rsidRPr="00B027F7">
        <w:rPr>
          <w:color w:val="FF0000"/>
        </w:rPr>
        <w:t>omega</w:t>
      </w:r>
      <w:proofErr w:type="spellEnd"/>
      <w:r w:rsidRPr="00B027F7">
        <w:rPr>
          <w:color w:val="FF0000"/>
        </w:rPr>
        <w:t> »</w:t>
      </w:r>
      <w:r>
        <w:t>…</w:t>
      </w:r>
    </w:p>
    <w:p w:rsidR="0055591D" w:rsidRPr="0055591D" w:rsidRDefault="00B7057E" w:rsidP="004570DF">
      <w:pPr>
        <w:jc w:val="both"/>
      </w:pPr>
      <w:r>
        <w:t>Une</w:t>
      </w:r>
      <w:r w:rsidR="004570DF">
        <w:t xml:space="preserve"> cible en PMMA a été soumise à</w:t>
      </w:r>
      <w:r>
        <w:t xml:space="preserve"> un faisceau de C. Les résultats recueillis ont été confrontés aux données extrapolées par des simulations issues des sections efficaces des cibles simples. Pour le PMMA, les données expérimentales et celles simulées se corroborent. Ainsi le comportement de cibles complexes peut être déduit des sections efficaces de cible homogène.</w:t>
      </w:r>
    </w:p>
    <w:p w:rsidR="0055591D" w:rsidRDefault="00B7057E" w:rsidP="004570DF">
      <w:pPr>
        <w:jc w:val="both"/>
      </w:pPr>
      <w:r>
        <w:t xml:space="preserve">Exploitation des données : </w:t>
      </w:r>
      <w:r w:rsidR="00094C20">
        <w:t>i) création d’une base de donnée accessible à tous, ii) création d’une équation phénoménologique qui permet avec l’entrée d’entre 4 et 6 paramètres se s’aligner sur les courbes angulaires, iii) tentative de reconstruction sur des modèles Géant4 (BIC, QMD, INCL) mais aucun de ces modèles ne permet de s’aligner sur les données expérimentales.</w:t>
      </w:r>
    </w:p>
    <w:p w:rsidR="00094C20" w:rsidRPr="0055591D" w:rsidRDefault="00094C20" w:rsidP="004570DF">
      <w:pPr>
        <w:jc w:val="both"/>
      </w:pPr>
      <w:r>
        <w:t xml:space="preserve">Perspectives : Les expérimentations vont continuer avec des énergies plus basses (50 MeV/n au lieu de 95), </w:t>
      </w:r>
      <w:r w:rsidR="004570DF">
        <w:t xml:space="preserve">cependant </w:t>
      </w:r>
      <w:r>
        <w:t>le</w:t>
      </w:r>
      <w:r w:rsidR="004570DF">
        <w:t xml:space="preserve">s </w:t>
      </w:r>
      <w:r>
        <w:t xml:space="preserve"> d’UT </w:t>
      </w:r>
      <w:r w:rsidR="004570DF">
        <w:t xml:space="preserve">disponibles </w:t>
      </w:r>
      <w:r>
        <w:t xml:space="preserve">vont limiter les </w:t>
      </w:r>
      <w:r w:rsidR="004570DF">
        <w:t xml:space="preserve">expériences de </w:t>
      </w:r>
      <w:r>
        <w:t xml:space="preserve">sections efficaces </w:t>
      </w:r>
      <w:r w:rsidR="004570DF">
        <w:t>aux</w:t>
      </w:r>
      <w:r>
        <w:t xml:space="preserve"> angles de 3 à 39°. </w:t>
      </w:r>
      <w:r w:rsidR="00257E64">
        <w:t>A plus long terme :</w:t>
      </w:r>
      <w:r>
        <w:t xml:space="preserve"> avec la construction d’ARCHADE</w:t>
      </w:r>
      <w:r w:rsidR="00257E64">
        <w:t xml:space="preserve"> et sa plus grande disponibilité de faisceau</w:t>
      </w:r>
      <w:r>
        <w:t xml:space="preserve">, ces expériences seront </w:t>
      </w:r>
      <w:r w:rsidR="00257E64">
        <w:t>reconduites</w:t>
      </w:r>
      <w:r>
        <w:t xml:space="preserve"> avec des </w:t>
      </w:r>
      <w:r w:rsidR="00257E64">
        <w:t>énergies</w:t>
      </w:r>
      <w:r>
        <w:t xml:space="preserve"> allant de 100 à 400 MeV/n.</w:t>
      </w:r>
    </w:p>
    <w:p w:rsidR="0055591D" w:rsidRDefault="00257E64" w:rsidP="004570DF">
      <w:pPr>
        <w:jc w:val="both"/>
      </w:pPr>
      <w:r>
        <w:t xml:space="preserve">Les donnée expérimentales déjà recueillies sont disponible à : </w:t>
      </w:r>
      <w:hyperlink r:id="rId8" w:history="1">
        <w:r w:rsidRPr="009370F5">
          <w:rPr>
            <w:rStyle w:val="Lienhypertexte"/>
          </w:rPr>
          <w:t>http://hadrontherapy-data.in2p3.fr</w:t>
        </w:r>
      </w:hyperlink>
      <w:r>
        <w:t xml:space="preserve">  </w:t>
      </w:r>
    </w:p>
    <w:p w:rsidR="00257E64" w:rsidRDefault="00257E64" w:rsidP="004570DF">
      <w:pPr>
        <w:pStyle w:val="Titre2"/>
        <w:jc w:val="both"/>
      </w:pPr>
      <w:r>
        <w:t>Aurélie Girault :</w:t>
      </w:r>
      <w:r w:rsidR="0024140D">
        <w:t xml:space="preserve"> BIOGRAPHIC</w:t>
      </w:r>
    </w:p>
    <w:p w:rsidR="0024140D" w:rsidRDefault="0024140D" w:rsidP="004570DF">
      <w:pPr>
        <w:jc w:val="both"/>
      </w:pPr>
      <w:r>
        <w:t xml:space="preserve">Le but est d’intégrer au TPS les effets biologiques des hadrons sur les tumeurs et les tissus sains. Une complexité additionnelle est que la composition en ions du faisceau varie en fonction de l’épaisseur de tissus traversé dut à la fragmentation des carbones et la création de particules secondaires. </w:t>
      </w:r>
      <w:r w:rsidR="007F4AFB">
        <w:t>Ces facteurs modifiant le TEL et la dose reçue ; les effets biologique pourraient ainsi être différent selon l’épaisseur traversée.</w:t>
      </w:r>
    </w:p>
    <w:p w:rsidR="00A74DCD" w:rsidRPr="0055591D" w:rsidRDefault="007F4AFB" w:rsidP="004570DF">
      <w:pPr>
        <w:jc w:val="both"/>
      </w:pPr>
      <w:r>
        <w:t>Les cellules testées son</w:t>
      </w:r>
      <w:r w:rsidR="00D43BA5">
        <w:t>t</w:t>
      </w:r>
      <w:r>
        <w:t xml:space="preserve"> de type fibroblastes / fibrosarcomes et astrocytes / </w:t>
      </w:r>
      <w:proofErr w:type="spellStart"/>
      <w:r>
        <w:t>glioblastomes</w:t>
      </w:r>
      <w:proofErr w:type="spellEnd"/>
      <w:r w:rsidR="00D43BA5">
        <w:t xml:space="preserve"> soumises à des rayonnements de différents TEL</w:t>
      </w:r>
      <w:r w:rsidR="00A74DCD">
        <w:t xml:space="preserve"> (3 TEL avec du C12 et un TEL avec C13)</w:t>
      </w:r>
      <w:r w:rsidR="00D43BA5">
        <w:t xml:space="preserve">. </w:t>
      </w:r>
      <w:r w:rsidR="00A74DCD">
        <w:t xml:space="preserve">On notera l’importance du dispositif DOSION dans ces expériences qui </w:t>
      </w:r>
      <w:r w:rsidR="004570DF">
        <w:t xml:space="preserve">a </w:t>
      </w:r>
      <w:r w:rsidR="00A74DCD">
        <w:t>perm</w:t>
      </w:r>
      <w:r w:rsidR="004570DF">
        <w:t>is</w:t>
      </w:r>
      <w:r w:rsidR="00A74DCD">
        <w:t xml:space="preserve"> d’évaluer la dose réellement déposée en chaque point de plaques de culture et ainsi d’évaluer la pertinence des résultats expérimentaux (survie cellulaire).</w:t>
      </w:r>
      <w:r w:rsidR="004570DF">
        <w:t xml:space="preserve"> </w:t>
      </w:r>
    </w:p>
    <w:p w:rsidR="004570DF" w:rsidRDefault="00D43BA5" w:rsidP="004570DF">
      <w:pPr>
        <w:jc w:val="both"/>
      </w:pPr>
      <w:r>
        <w:t>Les survies cellulaires sur fibroblastes montrent que les TEL élevés ont un effet destructeur plus important.</w:t>
      </w:r>
      <w:r w:rsidR="00A74DCD">
        <w:t xml:space="preserve"> Surtout, les faisceaux avec le C13 donnent les survies cellulaire les plus bases et le meilleur RBE</w:t>
      </w:r>
      <w:r w:rsidR="004570DF">
        <w:t xml:space="preserve"> de l’expérience</w:t>
      </w:r>
      <w:r w:rsidR="00A74DCD">
        <w:t xml:space="preserve"> (</w:t>
      </w:r>
      <w:r w:rsidR="004570DF">
        <w:t xml:space="preserve">i.e. </w:t>
      </w:r>
      <w:r w:rsidR="00A74DCD">
        <w:t>3,28).</w:t>
      </w:r>
      <w:r>
        <w:t xml:space="preserve">  </w:t>
      </w:r>
    </w:p>
    <w:p w:rsidR="007F4AFB" w:rsidRDefault="00A74DCD" w:rsidP="004570DF">
      <w:pPr>
        <w:jc w:val="both"/>
      </w:pPr>
      <w:r>
        <w:t xml:space="preserve">Les mêmes expériences avec des astrocytes et des </w:t>
      </w:r>
      <w:proofErr w:type="spellStart"/>
      <w:r>
        <w:t>glioblastomes</w:t>
      </w:r>
      <w:proofErr w:type="spellEnd"/>
      <w:r>
        <w:t xml:space="preserve"> ont donné des résultats peu homogènes et non exploitables en l’état. </w:t>
      </w:r>
    </w:p>
    <w:p w:rsidR="00A74DCD" w:rsidRDefault="00A74DCD" w:rsidP="004570DF">
      <w:pPr>
        <w:jc w:val="both"/>
      </w:pPr>
      <w:r>
        <w:lastRenderedPageBreak/>
        <w:t>Perspectives : La prochaine session d’</w:t>
      </w:r>
      <w:r w:rsidR="008B1846">
        <w:t>expériences au GANIL</w:t>
      </w:r>
      <w:r>
        <w:t xml:space="preserve"> </w:t>
      </w:r>
      <w:r w:rsidR="009C3313">
        <w:t xml:space="preserve">au printemps 2015 </w:t>
      </w:r>
      <w:r w:rsidR="008B1846">
        <w:t>permettra</w:t>
      </w:r>
      <w:r>
        <w:t xml:space="preserve"> d’optimiser les expériences et leurs reproductibilités. </w:t>
      </w:r>
      <w:r w:rsidR="008B1846">
        <w:t xml:space="preserve">L’utilisation de PMMA de plus forte épaisseur autorisera l’étude de plus </w:t>
      </w:r>
      <w:r w:rsidR="009C3313">
        <w:t>h</w:t>
      </w:r>
      <w:r w:rsidR="008B1846">
        <w:t>au</w:t>
      </w:r>
      <w:r w:rsidR="009C3313">
        <w:t>ts</w:t>
      </w:r>
      <w:r w:rsidR="008B1846">
        <w:t xml:space="preserve"> TEL (90-110 </w:t>
      </w:r>
      <w:proofErr w:type="spellStart"/>
      <w:r w:rsidR="008B1846">
        <w:t>keV</w:t>
      </w:r>
      <w:proofErr w:type="spellEnd"/>
      <w:r w:rsidR="008B1846">
        <w:t xml:space="preserve">/µm) afin de disposer de données complètes sur l’ensemble de la courbe de Bragg. </w:t>
      </w:r>
      <w:r w:rsidR="009C3313">
        <w:t xml:space="preserve">Les effets biologiques seront aussi investigués avec le dosage </w:t>
      </w:r>
      <w:r w:rsidR="008B1846">
        <w:t>de mar</w:t>
      </w:r>
      <w:r w:rsidR="004570DF">
        <w:t>queurs biologique</w:t>
      </w:r>
      <w:r w:rsidR="009C3313">
        <w:t>s</w:t>
      </w:r>
      <w:r w:rsidR="004570DF">
        <w:t xml:space="preserve"> tel</w:t>
      </w:r>
      <w:r w:rsidR="009C3313">
        <w:t>s</w:t>
      </w:r>
      <w:r w:rsidR="004570DF">
        <w:t xml:space="preserve"> que le 8-ox</w:t>
      </w:r>
      <w:r w:rsidR="008B1846">
        <w:t>o</w:t>
      </w:r>
      <w:r w:rsidR="004570DF">
        <w:t>-</w:t>
      </w:r>
      <w:r w:rsidR="009C3313">
        <w:t xml:space="preserve">dG ; un </w:t>
      </w:r>
      <w:r w:rsidR="0041448C">
        <w:t>produit de la réparation d</w:t>
      </w:r>
      <w:r w:rsidR="009C3313">
        <w:t>e l’ADN suite à stress oxydatif</w:t>
      </w:r>
      <w:r w:rsidR="0041448C">
        <w:t>.</w:t>
      </w:r>
    </w:p>
    <w:p w:rsidR="0041448C" w:rsidRDefault="0041448C" w:rsidP="004570DF">
      <w:pPr>
        <w:jc w:val="both"/>
      </w:pPr>
      <w:r>
        <w:t>Remarques : La grande variabilité des résultats intimement liée à la manipulation de matériel biologique peut et pourra être diminuée grâce à la diminution des incertitudes des paramètres physiques.</w:t>
      </w:r>
    </w:p>
    <w:p w:rsidR="0041448C" w:rsidRDefault="0041448C" w:rsidP="004570DF">
      <w:pPr>
        <w:pStyle w:val="Titre2"/>
        <w:jc w:val="both"/>
      </w:pPr>
      <w:r>
        <w:t>Samuel Salvador : FRAVAS, dispositif de mesure de section efficaces</w:t>
      </w:r>
    </w:p>
    <w:p w:rsidR="0041448C" w:rsidRDefault="0041448C" w:rsidP="004570DF">
      <w:pPr>
        <w:jc w:val="both"/>
      </w:pPr>
      <w:r>
        <w:t>FRACAS est un dispositif de mesure de section</w:t>
      </w:r>
      <w:r w:rsidR="00F36459">
        <w:t>s</w:t>
      </w:r>
      <w:r>
        <w:t xml:space="preserve"> efficace</w:t>
      </w:r>
      <w:r w:rsidR="00F36459">
        <w:t>s</w:t>
      </w:r>
      <w:r>
        <w:t xml:space="preserve"> </w:t>
      </w:r>
      <w:r w:rsidR="00F36459">
        <w:t>qui pourr</w:t>
      </w:r>
      <w:r w:rsidR="009C3313">
        <w:t>a</w:t>
      </w:r>
      <w:r w:rsidR="00F36459">
        <w:t xml:space="preserve"> être utilisé afin </w:t>
      </w:r>
      <w:r w:rsidR="009C3313">
        <w:t xml:space="preserve">i) </w:t>
      </w:r>
      <w:r w:rsidR="00F36459">
        <w:t>de contraindre les simulations MC</w:t>
      </w:r>
      <w:r w:rsidR="00863F67">
        <w:t xml:space="preserve"> </w:t>
      </w:r>
      <w:r w:rsidR="009C3313">
        <w:t>et</w:t>
      </w:r>
      <w:r w:rsidR="00863F67">
        <w:t xml:space="preserve"> </w:t>
      </w:r>
      <w:r w:rsidR="009458E5">
        <w:t xml:space="preserve">améliorer les TPS et </w:t>
      </w:r>
      <w:r w:rsidR="009C3313">
        <w:t xml:space="preserve">ii) </w:t>
      </w:r>
      <w:r w:rsidR="009458E5">
        <w:t xml:space="preserve">faciliter les méthodes d’imagerie. Différentes instrumentations ont été pensées pour ce dispositif tel que les télescope à étages ou les détecteurs </w:t>
      </w:r>
      <w:proofErr w:type="spellStart"/>
      <w:r w:rsidR="009458E5">
        <w:t>ultrasegmentés</w:t>
      </w:r>
      <w:proofErr w:type="spellEnd"/>
      <w:r w:rsidR="009458E5">
        <w:t xml:space="preserve">, cependant ces détecteurs présentent une large épaisseur qui peut induire </w:t>
      </w:r>
      <w:r w:rsidR="009C3313">
        <w:t xml:space="preserve">elle-même </w:t>
      </w:r>
      <w:r w:rsidR="009458E5">
        <w:t xml:space="preserve">des phénomènes de fragmentation </w:t>
      </w:r>
      <w:r w:rsidR="009C3313">
        <w:t xml:space="preserve">parasites </w:t>
      </w:r>
      <w:r w:rsidR="009458E5">
        <w:t xml:space="preserve">à l’intérieur du détecteur. Le système retenu est un spectromètre de masse par temps de vol </w:t>
      </w:r>
      <w:r w:rsidR="009C3313">
        <w:t xml:space="preserve">dans le vide </w:t>
      </w:r>
      <w:r w:rsidR="009458E5">
        <w:t>(</w:t>
      </w:r>
      <w:proofErr w:type="spellStart"/>
      <w:r w:rsidR="009458E5">
        <w:t>Tof</w:t>
      </w:r>
      <w:proofErr w:type="spellEnd"/>
      <w:r w:rsidR="009458E5">
        <w:t xml:space="preserve">-MS). Ce </w:t>
      </w:r>
      <w:proofErr w:type="spellStart"/>
      <w:r w:rsidR="009458E5">
        <w:t>Tof</w:t>
      </w:r>
      <w:proofErr w:type="spellEnd"/>
      <w:r w:rsidR="009458E5">
        <w:t>-MS permet</w:t>
      </w:r>
      <w:r w:rsidR="009C3313">
        <w:t>tra</w:t>
      </w:r>
      <w:r w:rsidR="009458E5">
        <w:t xml:space="preserve"> l’identification des ions par leurs charges (modification du rayon de courbure par un aimant) et de leur masse via le temps de vol. Ce dispositif pourra été placé dans la salle « physique » du centre ARCHADE qui </w:t>
      </w:r>
      <w:r w:rsidR="009C3313">
        <w:t>bénéficie</w:t>
      </w:r>
      <w:r w:rsidR="009458E5">
        <w:t xml:space="preserve"> d’une surface au sol suffisante (15mx4m).</w:t>
      </w:r>
    </w:p>
    <w:p w:rsidR="009458E5" w:rsidRDefault="009458E5" w:rsidP="004570DF">
      <w:pPr>
        <w:jc w:val="both"/>
      </w:pPr>
      <w:r>
        <w:t>Instrumentation :</w:t>
      </w:r>
    </w:p>
    <w:p w:rsidR="009458E5" w:rsidRDefault="009458E5" w:rsidP="004570DF">
      <w:pPr>
        <w:pStyle w:val="Sansinterligne"/>
        <w:jc w:val="both"/>
      </w:pPr>
      <w:r>
        <w:t xml:space="preserve">Aimant type ALADIN </w:t>
      </w:r>
      <w:r w:rsidR="006411DD">
        <w:tab/>
      </w:r>
      <w:r w:rsidR="006411DD">
        <w:tab/>
      </w:r>
      <w:r w:rsidR="006411DD">
        <w:tab/>
      </w:r>
      <w:r>
        <w:t xml:space="preserve">– </w:t>
      </w:r>
      <w:r w:rsidR="00260149">
        <w:t>à financer (</w:t>
      </w:r>
      <w:r>
        <w:t>1 à 2M€</w:t>
      </w:r>
      <w:r w:rsidR="00260149">
        <w:t>)</w:t>
      </w:r>
    </w:p>
    <w:p w:rsidR="00260149" w:rsidRDefault="00260149" w:rsidP="004570DF">
      <w:pPr>
        <w:pStyle w:val="Sansinterligne"/>
        <w:jc w:val="both"/>
      </w:pPr>
      <w:r>
        <w:t xml:space="preserve">Chambre modulaire à vide </w:t>
      </w:r>
      <w:r w:rsidR="006411DD">
        <w:tab/>
      </w:r>
      <w:r w:rsidR="006411DD">
        <w:tab/>
      </w:r>
      <w:r>
        <w:t xml:space="preserve">– financée par </w:t>
      </w:r>
      <w:proofErr w:type="spellStart"/>
      <w:r>
        <w:t>RecHADRON</w:t>
      </w:r>
      <w:proofErr w:type="spellEnd"/>
      <w:r>
        <w:t xml:space="preserve"> – (350 k€)</w:t>
      </w:r>
    </w:p>
    <w:p w:rsidR="009458E5" w:rsidRDefault="009458E5" w:rsidP="004570DF">
      <w:pPr>
        <w:pStyle w:val="Sansinterligne"/>
        <w:jc w:val="both"/>
      </w:pPr>
      <w:r>
        <w:t xml:space="preserve">Modules de détection </w:t>
      </w:r>
      <w:r w:rsidR="00260149">
        <w:tab/>
      </w:r>
      <w:r w:rsidR="006411DD">
        <w:tab/>
      </w:r>
      <w:r w:rsidR="006411DD">
        <w:tab/>
      </w:r>
      <w:r>
        <w:t xml:space="preserve">– 50 </w:t>
      </w:r>
      <w:r w:rsidR="00260149">
        <w:t xml:space="preserve">déjà </w:t>
      </w:r>
      <w:r>
        <w:t xml:space="preserve">financés par </w:t>
      </w:r>
      <w:proofErr w:type="spellStart"/>
      <w:r>
        <w:t>FrHA</w:t>
      </w:r>
      <w:proofErr w:type="spellEnd"/>
      <w:r w:rsidR="00260149">
        <w:t xml:space="preserve"> (100 k€)</w:t>
      </w:r>
    </w:p>
    <w:p w:rsidR="00260149" w:rsidRDefault="00260149" w:rsidP="004570DF">
      <w:pPr>
        <w:pStyle w:val="Sansinterligne"/>
        <w:jc w:val="both"/>
      </w:pPr>
      <w:r>
        <w:tab/>
      </w:r>
      <w:r>
        <w:tab/>
      </w:r>
      <w:r>
        <w:tab/>
      </w:r>
      <w:r w:rsidR="006411DD">
        <w:tab/>
      </w:r>
      <w:r w:rsidR="006411DD">
        <w:tab/>
      </w:r>
      <w:r>
        <w:t>- 350 à financer (700 k€)</w:t>
      </w:r>
    </w:p>
    <w:p w:rsidR="00260149" w:rsidRDefault="00260149" w:rsidP="004570DF">
      <w:pPr>
        <w:pStyle w:val="Sansinterligne"/>
        <w:jc w:val="both"/>
      </w:pPr>
      <w:r>
        <w:t xml:space="preserve">Electronique du mur de temps de vol </w:t>
      </w:r>
      <w:r>
        <w:tab/>
        <w:t xml:space="preserve">– une partie déjà financée par </w:t>
      </w:r>
      <w:proofErr w:type="spellStart"/>
      <w:r>
        <w:t>FrHA</w:t>
      </w:r>
      <w:proofErr w:type="spellEnd"/>
    </w:p>
    <w:p w:rsidR="00260149" w:rsidRDefault="00260149" w:rsidP="004570DF">
      <w:pPr>
        <w:pStyle w:val="Sansinterligne"/>
        <w:jc w:val="both"/>
      </w:pPr>
      <w:r>
        <w:tab/>
      </w:r>
      <w:r>
        <w:tab/>
      </w:r>
      <w:r>
        <w:tab/>
      </w:r>
      <w:r>
        <w:tab/>
      </w:r>
      <w:r>
        <w:tab/>
        <w:t>- une autre partie à financer (ND)</w:t>
      </w:r>
    </w:p>
    <w:p w:rsidR="009458E5" w:rsidRDefault="00260149" w:rsidP="004570DF">
      <w:pPr>
        <w:pStyle w:val="Sansinterligne"/>
        <w:jc w:val="both"/>
      </w:pPr>
      <w:proofErr w:type="spellStart"/>
      <w:r>
        <w:t>Trackers</w:t>
      </w:r>
      <w:proofErr w:type="spellEnd"/>
      <w:r>
        <w:t xml:space="preserve"> en Silicium </w:t>
      </w:r>
      <w:r w:rsidR="006411DD">
        <w:tab/>
      </w:r>
      <w:r w:rsidR="006411DD">
        <w:tab/>
      </w:r>
      <w:r w:rsidR="006411DD">
        <w:tab/>
      </w:r>
      <w:r>
        <w:t>– à financer (ND)</w:t>
      </w:r>
    </w:p>
    <w:p w:rsidR="009C3313" w:rsidRDefault="009C3313" w:rsidP="004570DF">
      <w:pPr>
        <w:pStyle w:val="Sansinterligne"/>
        <w:jc w:val="both"/>
      </w:pPr>
    </w:p>
    <w:p w:rsidR="00260149" w:rsidRDefault="00260149" w:rsidP="004570DF">
      <w:pPr>
        <w:jc w:val="both"/>
      </w:pPr>
      <w:r>
        <w:t>Ainsi il resterait entre 2 et 3 M€ de fonds à trouver pour le financement complet de FRACAS.</w:t>
      </w:r>
      <w:r w:rsidR="009C3313">
        <w:t xml:space="preserve"> </w:t>
      </w:r>
      <w:proofErr w:type="spellStart"/>
      <w:r w:rsidR="009C3313">
        <w:t>FrHA</w:t>
      </w:r>
      <w:proofErr w:type="spellEnd"/>
      <w:r w:rsidR="009C3313">
        <w:t xml:space="preserve">, la région Normandie et d’autres sources de financement sont pressentis par le LPC Caen. </w:t>
      </w:r>
    </w:p>
    <w:p w:rsidR="00260149" w:rsidRDefault="00260149" w:rsidP="004570DF">
      <w:pPr>
        <w:pStyle w:val="Titre1"/>
        <w:jc w:val="both"/>
      </w:pPr>
      <w:r>
        <w:t xml:space="preserve">Session de l’après-midi, arrivés d’I. </w:t>
      </w:r>
      <w:proofErr w:type="spellStart"/>
      <w:r>
        <w:t>Buvat</w:t>
      </w:r>
      <w:proofErr w:type="spellEnd"/>
      <w:r>
        <w:t xml:space="preserve"> et J. </w:t>
      </w:r>
      <w:proofErr w:type="spellStart"/>
      <w:r>
        <w:t>Balosso</w:t>
      </w:r>
      <w:proofErr w:type="spellEnd"/>
      <w:r>
        <w:t>.</w:t>
      </w:r>
    </w:p>
    <w:p w:rsidR="00260149" w:rsidRDefault="00260149" w:rsidP="004570DF">
      <w:pPr>
        <w:pStyle w:val="Titre2"/>
        <w:jc w:val="both"/>
      </w:pPr>
      <w:r>
        <w:t xml:space="preserve">Daniel </w:t>
      </w:r>
      <w:proofErr w:type="spellStart"/>
      <w:r>
        <w:t>Cussol</w:t>
      </w:r>
      <w:proofErr w:type="spellEnd"/>
      <w:r>
        <w:t> : SLIIPIE : Modèle de collision noyaux-noyaux</w:t>
      </w:r>
    </w:p>
    <w:p w:rsidR="009C3313" w:rsidRDefault="0023788A" w:rsidP="004570DF">
      <w:pPr>
        <w:jc w:val="both"/>
      </w:pPr>
      <w:r>
        <w:t xml:space="preserve">La simulation SLIIPIE est un outil de simulation de collision et de fragmentation des ions à des énergies usuelles en hadronthérapie. La simulation des collisions est régie par un </w:t>
      </w:r>
      <w:r w:rsidR="00B9025A">
        <w:t xml:space="preserve">premier </w:t>
      </w:r>
      <w:r>
        <w:t xml:space="preserve">paramètre : le nombre des collisions subies par un nucléon. </w:t>
      </w:r>
      <w:r w:rsidR="009C3313">
        <w:t xml:space="preserve">Ce modèle </w:t>
      </w:r>
      <w:r>
        <w:t xml:space="preserve">donne les meilleurs alignements avec les données expérimentales lors </w:t>
      </w:r>
      <w:r w:rsidR="009C3313">
        <w:t>il est</w:t>
      </w:r>
      <w:r>
        <w:t xml:space="preserve"> contrainte par une valeur de 1,5 collisions par nucléon. Lors de l’étape de coalescence et de génération de particules secondaire un second paramètre intervient : </w:t>
      </w:r>
      <w:proofErr w:type="spellStart"/>
      <w:r>
        <w:t>Pcut</w:t>
      </w:r>
      <w:proofErr w:type="spellEnd"/>
      <w:r>
        <w:t> </w:t>
      </w:r>
      <w:r w:rsidR="00B91D37">
        <w:t xml:space="preserve">– l’impulsion de coupure. </w:t>
      </w:r>
      <w:r w:rsidR="009C3313">
        <w:t>L</w:t>
      </w:r>
      <w:r w:rsidR="00B91D37">
        <w:t xml:space="preserve">es fragments sont générés si l’impulsion de coupure est supérieure à l’impulsion du nucléon. Lors </w:t>
      </w:r>
      <w:r w:rsidR="009C3313">
        <w:t>de l’ajustement</w:t>
      </w:r>
      <w:r w:rsidR="00B91D37">
        <w:t xml:space="preserve"> avec les données expérimentales, </w:t>
      </w:r>
      <w:r>
        <w:t xml:space="preserve"> </w:t>
      </w:r>
      <w:r w:rsidR="00B91D37">
        <w:t xml:space="preserve">les meilleures superpositions sont obtenues avec </w:t>
      </w:r>
      <w:proofErr w:type="spellStart"/>
      <w:r w:rsidR="00B91D37">
        <w:t>Pcut</w:t>
      </w:r>
      <w:proofErr w:type="spellEnd"/>
      <w:r w:rsidR="00B91D37">
        <w:t xml:space="preserve"> = 225 </w:t>
      </w:r>
      <w:proofErr w:type="spellStart"/>
      <w:r w:rsidR="00B91D37">
        <w:t>Mev</w:t>
      </w:r>
      <w:proofErr w:type="spellEnd"/>
      <w:r w:rsidR="00B91D37">
        <w:t xml:space="preserve">/c. Dès lors, l’énergie d’excitation conférée aux particules produites est calculée avec ici la limitation que l’énergie conférée est inférieure à l’énergie initiale ; il convient donc de minimiser par un algorithme l’énergie acquise par les particules produites. </w:t>
      </w:r>
    </w:p>
    <w:p w:rsidR="007F4E44" w:rsidRDefault="007F4E44" w:rsidP="004570DF">
      <w:pPr>
        <w:jc w:val="both"/>
      </w:pPr>
      <w:r>
        <w:t>La génération de ces particules est simulée par le model de désexcitation de Fermi Break-Up. Cette simulation de collision carbone-carbone donne de meilleurs résultats que les simulations issus de Géant4 ou de HIPSE même si la génération des fragments légers est sous-estimé</w:t>
      </w:r>
      <w:r w:rsidR="009C3313">
        <w:t>e</w:t>
      </w:r>
      <w:r>
        <w:t xml:space="preserve"> et celle des fragments lourds surestimé</w:t>
      </w:r>
      <w:r w:rsidR="009C3313">
        <w:t>e</w:t>
      </w:r>
      <w:r>
        <w:t>. Enfin l’énergie et la distribution angulaire des particules est conforme avec les résultats déjà observés.</w:t>
      </w:r>
    </w:p>
    <w:p w:rsidR="007F4E44" w:rsidRDefault="009C3313" w:rsidP="004570DF">
      <w:pPr>
        <w:jc w:val="both"/>
      </w:pPr>
      <w:r>
        <w:lastRenderedPageBreak/>
        <w:t>Dans son ensemble, l</w:t>
      </w:r>
      <w:r w:rsidR="007F4E44">
        <w:t xml:space="preserve">a simulation donne </w:t>
      </w:r>
      <w:r w:rsidR="003043C7">
        <w:t xml:space="preserve">de bons résultats avec des carbones dont l’énergie incidente est de 95 </w:t>
      </w:r>
      <w:proofErr w:type="spellStart"/>
      <w:r w:rsidR="003043C7">
        <w:t>Mev</w:t>
      </w:r>
      <w:proofErr w:type="spellEnd"/>
      <w:r w:rsidR="003043C7">
        <w:t>/n et</w:t>
      </w:r>
      <w:r w:rsidR="007F4E44">
        <w:t xml:space="preserve"> </w:t>
      </w:r>
      <w:r w:rsidR="003043C7">
        <w:t xml:space="preserve">62 </w:t>
      </w:r>
      <w:proofErr w:type="spellStart"/>
      <w:r w:rsidR="003043C7">
        <w:t>Mev</w:t>
      </w:r>
      <w:proofErr w:type="spellEnd"/>
      <w:r w:rsidR="003043C7">
        <w:t>/n.</w:t>
      </w:r>
      <w:r w:rsidR="005A76A6">
        <w:t xml:space="preserve"> </w:t>
      </w:r>
      <w:r>
        <w:t>Il y a une b</w:t>
      </w:r>
      <w:r w:rsidR="005A76A6">
        <w:t xml:space="preserve">onne </w:t>
      </w:r>
      <w:r>
        <w:t>robustesse</w:t>
      </w:r>
      <w:r w:rsidR="005A76A6">
        <w:t xml:space="preserve"> de la simulation avec les protons et les particules alpha, moins pour les particules plus lourdes. Comme ces particules </w:t>
      </w:r>
      <w:r>
        <w:t>lourdes</w:t>
      </w:r>
      <w:r w:rsidR="005A76A6">
        <w:t xml:space="preserve"> sont moins </w:t>
      </w:r>
      <w:proofErr w:type="gramStart"/>
      <w:r w:rsidR="005A76A6">
        <w:t>produites</w:t>
      </w:r>
      <w:proofErr w:type="gramEnd"/>
      <w:r w:rsidR="005A76A6">
        <w:t xml:space="preserve"> que les alphas</w:t>
      </w:r>
      <w:r>
        <w:t xml:space="preserve"> les proton</w:t>
      </w:r>
      <w:r w:rsidR="005A76A6">
        <w:t xml:space="preserve"> ; </w:t>
      </w:r>
      <w:r w:rsidR="00EA760C">
        <w:t>l’alignement est très bon pour les particules les plus produites.</w:t>
      </w:r>
    </w:p>
    <w:p w:rsidR="003043C7" w:rsidRDefault="003043C7" w:rsidP="004570DF">
      <w:pPr>
        <w:jc w:val="both"/>
      </w:pPr>
      <w:r>
        <w:t xml:space="preserve">Perspectives : Les simulations de SLIIPIE seront étendues à d’autre collision que </w:t>
      </w:r>
      <w:proofErr w:type="spellStart"/>
      <w:r>
        <w:t>carb</w:t>
      </w:r>
      <w:proofErr w:type="spellEnd"/>
      <w:r>
        <w:t xml:space="preserve">. – </w:t>
      </w:r>
      <w:proofErr w:type="spellStart"/>
      <w:r>
        <w:t>carb</w:t>
      </w:r>
      <w:proofErr w:type="spellEnd"/>
      <w:r>
        <w:t xml:space="preserve">. </w:t>
      </w:r>
      <w:proofErr w:type="gramStart"/>
      <w:r>
        <w:t>telles</w:t>
      </w:r>
      <w:proofErr w:type="gramEnd"/>
      <w:r>
        <w:t xml:space="preserve"> que des cibles de H, O, Al et Ti (=Ca) ainsi qu’avec de plus basses énergies tel que 50 MeV/</w:t>
      </w:r>
      <w:r w:rsidR="00991715">
        <w:t>n</w:t>
      </w:r>
      <w:r>
        <w:t>.</w:t>
      </w:r>
    </w:p>
    <w:p w:rsidR="007F4E44" w:rsidRDefault="003043C7" w:rsidP="004570DF">
      <w:pPr>
        <w:pStyle w:val="Titre2"/>
        <w:jc w:val="both"/>
      </w:pPr>
      <w:r>
        <w:t xml:space="preserve">Lydia </w:t>
      </w:r>
      <w:proofErr w:type="spellStart"/>
      <w:r>
        <w:t>Maigne</w:t>
      </w:r>
      <w:proofErr w:type="spellEnd"/>
      <w:r>
        <w:t> : Présentation de Géant4-ADN</w:t>
      </w:r>
    </w:p>
    <w:p w:rsidR="00AD43C4" w:rsidRDefault="00F9300D" w:rsidP="004570DF">
      <w:pPr>
        <w:jc w:val="both"/>
      </w:pPr>
      <w:r>
        <w:t>La simulation MC Géant4-ADN</w:t>
      </w:r>
      <w:r w:rsidR="00311689">
        <w:t xml:space="preserve"> e</w:t>
      </w:r>
      <w:r w:rsidR="00AD43C4">
        <w:t>st une sous-partie</w:t>
      </w:r>
      <w:r w:rsidR="00311689">
        <w:t xml:space="preserve"> indépendante de Géant4 qui</w:t>
      </w:r>
      <w:r>
        <w:t xml:space="preserve"> vise à simuler les effets des faibles doses de rayonnements sur les objets cellulaires dont l’ADN. Afin de simuler au mieux les effets précoces des rayonnements sur l’ADN, G4ADN combine modèles analytiques </w:t>
      </w:r>
      <w:r w:rsidR="00AD43C4">
        <w:t xml:space="preserve">et simulations contraintes par des données expérimentales. </w:t>
      </w:r>
    </w:p>
    <w:p w:rsidR="00F9300D" w:rsidRDefault="00EA760C" w:rsidP="004570DF">
      <w:pPr>
        <w:jc w:val="both"/>
      </w:pPr>
      <w:r>
        <w:t>Modèle physique :</w:t>
      </w:r>
      <w:r w:rsidR="00F9300D">
        <w:t xml:space="preserve"> Les modèles physiques sont ici </w:t>
      </w:r>
      <w:r w:rsidR="00AD43C4">
        <w:t>modélisés dans</w:t>
      </w:r>
      <w:r w:rsidR="00F9300D">
        <w:t xml:space="preserve"> l’eau</w:t>
      </w:r>
      <w:r w:rsidR="00AD43C4">
        <w:t>,</w:t>
      </w:r>
      <w:r w:rsidR="00F9300D">
        <w:t xml:space="preserve"> </w:t>
      </w:r>
      <w:r w:rsidR="00311689">
        <w:t>utilisée comme</w:t>
      </w:r>
      <w:r w:rsidR="00F9300D">
        <w:t xml:space="preserve"> milieu </w:t>
      </w:r>
      <w:r w:rsidR="00AD43C4">
        <w:t xml:space="preserve">biologique </w:t>
      </w:r>
      <w:r w:rsidR="00F9300D">
        <w:t>de référence.</w:t>
      </w:r>
      <w:r w:rsidR="00AD43C4">
        <w:t xml:space="preserve"> Les modèles physiques disponible</w:t>
      </w:r>
      <w:r w:rsidR="00311689">
        <w:t>s</w:t>
      </w:r>
      <w:r w:rsidR="00AD43C4">
        <w:t xml:space="preserve"> dans G4 sont capables de décrire les </w:t>
      </w:r>
      <w:r w:rsidR="00311689">
        <w:t xml:space="preserve">très basses </w:t>
      </w:r>
      <w:r w:rsidR="00AD43C4">
        <w:t>énergies (~10 eV).  Ces modèles sont disponibles pour les particules suivantes : e-, p+, H, He, He+ et les ions légers (Li, Be…). La construction modulaire de Géant4 permet</w:t>
      </w:r>
      <w:r w:rsidR="00311689">
        <w:t xml:space="preserve"> l’inter-</w:t>
      </w:r>
      <w:r w:rsidR="00AD43C4">
        <w:t xml:space="preserve">combinaison des </w:t>
      </w:r>
      <w:r w:rsidR="00311689">
        <w:t>sous-programmes</w:t>
      </w:r>
      <w:r w:rsidR="005A76A6">
        <w:t xml:space="preserve"> (G4-DNA /</w:t>
      </w:r>
      <w:r w:rsidR="00AD43C4">
        <w:t xml:space="preserve"> </w:t>
      </w:r>
      <w:r>
        <w:t>G4-photon / G4-EM / G4-</w:t>
      </w:r>
      <w:r w:rsidR="005A76A6">
        <w:t xml:space="preserve">atomic </w:t>
      </w:r>
      <w:proofErr w:type="spellStart"/>
      <w:r w:rsidR="005A76A6">
        <w:t>desexitation</w:t>
      </w:r>
      <w:proofErr w:type="spellEnd"/>
      <w:r w:rsidR="005A76A6">
        <w:t xml:space="preserve">). Les simulations prédites par le module G4-DNA (Dose Point </w:t>
      </w:r>
      <w:proofErr w:type="spellStart"/>
      <w:r w:rsidR="005A76A6">
        <w:t>Kernel</w:t>
      </w:r>
      <w:proofErr w:type="spellEnd"/>
      <w:r w:rsidR="005A76A6">
        <w:t xml:space="preserve">, S-values simulations, Radial dose distribution) ont été comparées avec succès avec les résultats produits par d’autres simulations MC et des données expérimentales. </w:t>
      </w:r>
    </w:p>
    <w:p w:rsidR="00311689" w:rsidRDefault="00EA760C" w:rsidP="004570DF">
      <w:pPr>
        <w:jc w:val="both"/>
      </w:pPr>
      <w:r>
        <w:t xml:space="preserve">Modèle physico-chimique : Le modèle physico-chimique prend en </w:t>
      </w:r>
      <w:r w:rsidR="00F92484">
        <w:t>charge</w:t>
      </w:r>
      <w:r>
        <w:t xml:space="preserve"> la création des ions et radicaux issus de la radiolyse de l’eau </w:t>
      </w:r>
      <w:r w:rsidR="00311689">
        <w:t>suite au parcours d’une particule. Le modèle comprend</w:t>
      </w:r>
      <w:r w:rsidR="00F92484">
        <w:t xml:space="preserve"> aussi</w:t>
      </w:r>
      <w:r>
        <w:t xml:space="preserve"> les étapes de réarrangements électroniques </w:t>
      </w:r>
      <w:r w:rsidR="00311689">
        <w:t>des produits</w:t>
      </w:r>
      <w:r>
        <w:t xml:space="preserve"> ainsi que les étapes de recombinaisons </w:t>
      </w:r>
      <w:r w:rsidR="00F92484">
        <w:t>entre ces molécules.</w:t>
      </w:r>
      <w:r>
        <w:t xml:space="preserve"> </w:t>
      </w:r>
      <w:r w:rsidR="00F92484">
        <w:t xml:space="preserve">Les simulations nécessitent </w:t>
      </w:r>
      <w:r>
        <w:t xml:space="preserve">une table </w:t>
      </w:r>
      <w:r w:rsidR="00F92484">
        <w:t>listant toutes</w:t>
      </w:r>
      <w:r>
        <w:t xml:space="preserve"> les </w:t>
      </w:r>
      <w:r w:rsidR="00311689">
        <w:t>réactions</w:t>
      </w:r>
      <w:r>
        <w:t xml:space="preserve"> possibles </w:t>
      </w:r>
      <w:r w:rsidR="00F92484">
        <w:t xml:space="preserve">(diffusion des molécules, </w:t>
      </w:r>
      <w:r>
        <w:t>taux production</w:t>
      </w:r>
      <w:r w:rsidR="00F92484">
        <w:t xml:space="preserve"> des réactions)</w:t>
      </w:r>
      <w:r>
        <w:t>.</w:t>
      </w:r>
      <w:r w:rsidR="00F92484">
        <w:t xml:space="preserve"> Mme L </w:t>
      </w:r>
      <w:proofErr w:type="spellStart"/>
      <w:r w:rsidR="00F92484">
        <w:t>Maigne</w:t>
      </w:r>
      <w:proofErr w:type="spellEnd"/>
      <w:r w:rsidR="00F92484">
        <w:t xml:space="preserve"> nous propose de visualiser la réactivité d’un électron lors de son parcours dans l’eau :</w:t>
      </w:r>
    </w:p>
    <w:p w:rsidR="009458E5" w:rsidRDefault="00390701" w:rsidP="004570DF">
      <w:pPr>
        <w:jc w:val="both"/>
      </w:pPr>
      <w:hyperlink r:id="rId9" w:history="1">
        <w:r w:rsidR="00F92484" w:rsidRPr="00E67FDE">
          <w:rPr>
            <w:rStyle w:val="Lienhypertexte"/>
          </w:rPr>
          <w:t>http://figshare.com/articles/Geant4_DNA_visualization_Evolution_of_1_keV_electron_track_in_liquid_water_in_space_and_time/978887</w:t>
        </w:r>
      </w:hyperlink>
    </w:p>
    <w:p w:rsidR="00F92484" w:rsidRPr="0041448C" w:rsidRDefault="00F92484" w:rsidP="004570DF">
      <w:pPr>
        <w:jc w:val="both"/>
      </w:pPr>
      <w:r>
        <w:t xml:space="preserve">Modèles </w:t>
      </w:r>
      <w:r w:rsidR="00ED32AF">
        <w:t>biologique</w:t>
      </w:r>
      <w:r>
        <w:t xml:space="preserve"> : </w:t>
      </w:r>
      <w:r w:rsidR="00311689">
        <w:t>G4DNA bénéficie de l’ajout d’un module prenant en charge la</w:t>
      </w:r>
      <w:r>
        <w:t xml:space="preserve"> modélisation des géométries de l’ADN. </w:t>
      </w:r>
      <w:r w:rsidR="00311689">
        <w:t>Les m</w:t>
      </w:r>
      <w:r>
        <w:t>odélisation</w:t>
      </w:r>
      <w:r w:rsidR="00311689">
        <w:t>s</w:t>
      </w:r>
      <w:r>
        <w:t xml:space="preserve"> </w:t>
      </w:r>
      <w:r w:rsidR="00311689">
        <w:t>sont réalisées</w:t>
      </w:r>
      <w:r>
        <w:t xml:space="preserve"> à partir d’un élément simple, l</w:t>
      </w:r>
      <w:r w:rsidR="00311689">
        <w:t>e nucléosome et complexifiée</w:t>
      </w:r>
      <w:r>
        <w:t xml:space="preserve"> jusqu’à </w:t>
      </w:r>
      <w:r w:rsidR="00311689">
        <w:t xml:space="preserve">la simulation </w:t>
      </w:r>
      <w:r>
        <w:t xml:space="preserve">de </w:t>
      </w:r>
      <w:r w:rsidR="00FD1F13">
        <w:t>boucles de chromatines complexes. Ces boucles de chromatines sont utilisées pour « combler » le noyau d’une cellule virtuelle (</w:t>
      </w:r>
      <w:r w:rsidR="00311689">
        <w:t>comportant ~1</w:t>
      </w:r>
      <w:r w:rsidR="00FD1F13">
        <w:t xml:space="preserve">3125 boucles).  Récemment, une nouvelle fonctionnalité </w:t>
      </w:r>
      <w:r w:rsidR="004159F4">
        <w:t>(PDB4DNA) a</w:t>
      </w:r>
      <w:r w:rsidR="00FD1F13">
        <w:t xml:space="preserve"> été ajoutée</w:t>
      </w:r>
      <w:r w:rsidR="00311689">
        <w:t xml:space="preserve"> et</w:t>
      </w:r>
      <w:r w:rsidR="00FD1F13">
        <w:t xml:space="preserve"> permet d’utiliser les </w:t>
      </w:r>
      <w:r w:rsidR="004159F4">
        <w:t xml:space="preserve">structures d’ADN résolues par RMN </w:t>
      </w:r>
      <w:r w:rsidR="002743FB">
        <w:t xml:space="preserve">de </w:t>
      </w:r>
      <w:r w:rsidR="004159F4">
        <w:t xml:space="preserve">la </w:t>
      </w:r>
      <w:proofErr w:type="spellStart"/>
      <w:r w:rsidR="004159F4">
        <w:t>ProteinDataBank</w:t>
      </w:r>
      <w:proofErr w:type="spellEnd"/>
      <w:r w:rsidR="004159F4">
        <w:t>.</w:t>
      </w:r>
      <w:r w:rsidR="00FD1F13">
        <w:t xml:space="preserve"> </w:t>
      </w:r>
      <w:bookmarkStart w:id="0" w:name="_GoBack"/>
      <w:bookmarkEnd w:id="0"/>
    </w:p>
    <w:p w:rsidR="00F92484" w:rsidRDefault="004159F4" w:rsidP="004570DF">
      <w:pPr>
        <w:jc w:val="both"/>
      </w:pPr>
      <w:r>
        <w:t xml:space="preserve">Perspectives : Ajout dans le modèle physique des données de sections efficaces pour les ions et les e-. </w:t>
      </w:r>
      <w:r w:rsidRPr="004159F4">
        <w:t>Le modèle physico-chimiq</w:t>
      </w:r>
      <w:r>
        <w:t xml:space="preserve">ue sera complété par l’ajout de molécules </w:t>
      </w:r>
      <w:proofErr w:type="spellStart"/>
      <w:r w:rsidRPr="004159F4">
        <w:t>scavengers</w:t>
      </w:r>
      <w:proofErr w:type="spellEnd"/>
      <w:r>
        <w:t xml:space="preserve"> ainsi que de leurs réactivités. </w:t>
      </w:r>
      <w:r w:rsidR="00ED32AF">
        <w:t xml:space="preserve">Enfin sur le modèle biologique, les prédictions des effets direct et indirect (ROS) des rayonnements sur l’ADN seront prises en compte. Les personnes intéressées par G4-DNA peuvent contacter directement Mme L. </w:t>
      </w:r>
      <w:proofErr w:type="spellStart"/>
      <w:r w:rsidR="00ED32AF">
        <w:t>Maigne</w:t>
      </w:r>
      <w:proofErr w:type="spellEnd"/>
      <w:r w:rsidR="00ED32AF">
        <w:t>.</w:t>
      </w:r>
    </w:p>
    <w:p w:rsidR="00ED32AF" w:rsidRDefault="00ED32AF" w:rsidP="004570DF">
      <w:pPr>
        <w:pStyle w:val="Titre2"/>
        <w:jc w:val="both"/>
      </w:pPr>
      <w:r>
        <w:t xml:space="preserve">Irène </w:t>
      </w:r>
      <w:proofErr w:type="spellStart"/>
      <w:r>
        <w:t>Buvat</w:t>
      </w:r>
      <w:proofErr w:type="spellEnd"/>
      <w:r>
        <w:t> : Simulations GATE</w:t>
      </w:r>
    </w:p>
    <w:p w:rsidR="0099207E" w:rsidRDefault="00ED32AF" w:rsidP="004570DF">
      <w:pPr>
        <w:jc w:val="both"/>
      </w:pPr>
      <w:r>
        <w:t>Les premiers développements de GATE ont eu lieu en 2001 avec une diffusion publique en 2009. Cet outil de simulation est principalement utilisé comme aide pour la conception de détecteurs et l’optimisation de protocoles</w:t>
      </w:r>
      <w:r w:rsidR="0099207E">
        <w:t xml:space="preserve"> notamment dans des thématiques de PET et SPECT. Facile à utiliser car n’utilisant pas de C++, GATE se base sur l’utilisation de macros qui s’échangent entre utilisateurs (~1600). Ses simulations peuvent </w:t>
      </w:r>
      <w:r w:rsidR="002743FB">
        <w:t>être</w:t>
      </w:r>
      <w:r w:rsidR="0099207E">
        <w:t xml:space="preserve"> utilisées en radiothérapie au niveau moléculaire (</w:t>
      </w:r>
      <w:r w:rsidR="006B64A8">
        <w:t xml:space="preserve">Dose Point </w:t>
      </w:r>
      <w:proofErr w:type="spellStart"/>
      <w:r w:rsidR="006B64A8">
        <w:t>Kernel</w:t>
      </w:r>
      <w:proofErr w:type="spellEnd"/>
      <w:r w:rsidR="006B64A8">
        <w:t xml:space="preserve">, S-values simulations, </w:t>
      </w:r>
      <w:proofErr w:type="spellStart"/>
      <w:r w:rsidR="006B64A8">
        <w:t>absorbed</w:t>
      </w:r>
      <w:proofErr w:type="spellEnd"/>
      <w:r w:rsidR="006B64A8">
        <w:t xml:space="preserve"> dose), en </w:t>
      </w:r>
      <w:proofErr w:type="spellStart"/>
      <w:r w:rsidR="006B64A8">
        <w:t>brachythérapie</w:t>
      </w:r>
      <w:proofErr w:type="spellEnd"/>
      <w:r w:rsidR="006B64A8">
        <w:t xml:space="preserve">, </w:t>
      </w:r>
      <w:r w:rsidR="002743FB">
        <w:t xml:space="preserve">en </w:t>
      </w:r>
      <w:r w:rsidR="006B64A8">
        <w:t xml:space="preserve">hadronthérapie, </w:t>
      </w:r>
      <w:r w:rsidR="002743FB">
        <w:t xml:space="preserve">pour le </w:t>
      </w:r>
      <w:r w:rsidR="006B64A8">
        <w:t>contrôle de</w:t>
      </w:r>
      <w:r w:rsidR="002743FB">
        <w:t>s</w:t>
      </w:r>
      <w:r w:rsidR="006B64A8">
        <w:t xml:space="preserve"> dose</w:t>
      </w:r>
      <w:r w:rsidR="002743FB">
        <w:t>s</w:t>
      </w:r>
      <w:r w:rsidR="006B64A8">
        <w:t xml:space="preserve"> déposé</w:t>
      </w:r>
      <w:r w:rsidR="002743FB">
        <w:t>es</w:t>
      </w:r>
      <w:r w:rsidR="006B64A8">
        <w:t>…</w:t>
      </w:r>
    </w:p>
    <w:p w:rsidR="00ED32AF" w:rsidRPr="00ED32AF" w:rsidRDefault="006B64A8" w:rsidP="004570DF">
      <w:pPr>
        <w:jc w:val="both"/>
      </w:pPr>
      <w:r>
        <w:lastRenderedPageBreak/>
        <w:t xml:space="preserve">GATE permet </w:t>
      </w:r>
      <w:r w:rsidR="002743FB">
        <w:t xml:space="preserve">aussi </w:t>
      </w:r>
      <w:r>
        <w:t>la modélisation de faisceau d’hadrons ; L</w:t>
      </w:r>
      <w:r w:rsidR="0099207E">
        <w:t xml:space="preserve">udovic de </w:t>
      </w:r>
      <w:proofErr w:type="spellStart"/>
      <w:r w:rsidR="0099207E">
        <w:t>Marcy</w:t>
      </w:r>
      <w:proofErr w:type="spellEnd"/>
      <w:r w:rsidR="0099207E">
        <w:t xml:space="preserve"> </w:t>
      </w:r>
      <w:r>
        <w:t>l’</w:t>
      </w:r>
      <w:r w:rsidR="0099207E">
        <w:t>a notamment utilisé afin de simuler et modéliser le faisceau du CPO</w:t>
      </w:r>
      <w:r>
        <w:t xml:space="preserve"> et plus généralement, les simulations des faisceaux PBS d’IBA ont déjà été réalisées. </w:t>
      </w:r>
    </w:p>
    <w:p w:rsidR="00ED32AF" w:rsidRDefault="006B64A8" w:rsidP="004570DF">
      <w:pPr>
        <w:jc w:val="both"/>
      </w:pPr>
      <w:r>
        <w:t xml:space="preserve">A ce jour, GATE est le seul outil capable de simuler l’apparition de positron et l’image PET en </w:t>
      </w:r>
      <w:r w:rsidR="0039217C">
        <w:t xml:space="preserve">résultant même si il reste quelques problèmes </w:t>
      </w:r>
      <w:r w:rsidR="001D3DB2">
        <w:t>quant au nombre de positrons produits</w:t>
      </w:r>
      <w:r>
        <w:t>.</w:t>
      </w:r>
      <w:r w:rsidR="001D3DB2">
        <w:t xml:space="preserve"> A partir d’une image PET, il est possible de revenir à la carte des doses déposées et ainsi vérifier la concordance avec le TPS. Une simulation de « </w:t>
      </w:r>
      <w:proofErr w:type="spellStart"/>
      <w:r w:rsidR="001D3DB2">
        <w:t>washout</w:t>
      </w:r>
      <w:proofErr w:type="spellEnd"/>
      <w:r w:rsidR="001D3DB2">
        <w:t xml:space="preserve"> », disparition de positions </w:t>
      </w:r>
      <w:proofErr w:type="gramStart"/>
      <w:r w:rsidR="001D3DB2">
        <w:t>liés</w:t>
      </w:r>
      <w:proofErr w:type="gramEnd"/>
      <w:r w:rsidR="001D3DB2">
        <w:t xml:space="preserve"> à la circulation sanguine est en cours de développement. Des simulations liées aux gammas prompts existent aussi, mais elles sont plus complexes et moins fiables car elles tendent actuellement à surévaluer le nombre de gamma prompt.</w:t>
      </w:r>
    </w:p>
    <w:p w:rsidR="006411DD" w:rsidRDefault="001D3DB2" w:rsidP="004570DF">
      <w:pPr>
        <w:jc w:val="both"/>
      </w:pPr>
      <w:r>
        <w:t xml:space="preserve">Le </w:t>
      </w:r>
      <w:r w:rsidR="003F2E71">
        <w:t>développement</w:t>
      </w:r>
      <w:r>
        <w:t xml:space="preserve"> de la V8 de GATE est basée sur quatre points </w:t>
      </w:r>
      <w:r w:rsidR="003F2E71">
        <w:t xml:space="preserve">: la modélisation </w:t>
      </w:r>
      <w:proofErr w:type="spellStart"/>
      <w:r w:rsidR="003F2E71">
        <w:t>théranostique</w:t>
      </w:r>
      <w:proofErr w:type="spellEnd"/>
      <w:r w:rsidR="003F2E71">
        <w:t xml:space="preserve">, la </w:t>
      </w:r>
      <w:r w:rsidR="00B9025A">
        <w:t xml:space="preserve">radiobiologie et la dosimétrie </w:t>
      </w:r>
      <w:r w:rsidR="003F2E71">
        <w:t xml:space="preserve">et l’accélération des calculs.  </w:t>
      </w:r>
    </w:p>
    <w:p w:rsidR="006411DD" w:rsidRDefault="003F2E71" w:rsidP="004570DF">
      <w:pPr>
        <w:jc w:val="both"/>
      </w:pPr>
      <w:proofErr w:type="spellStart"/>
      <w:proofErr w:type="gramStart"/>
      <w:r>
        <w:t>tGATE</w:t>
      </w:r>
      <w:proofErr w:type="spellEnd"/>
      <w:proofErr w:type="gramEnd"/>
      <w:r>
        <w:t xml:space="preserve"> est une plateforme en développement qui utilise des outils de simulations permettant la modélisation d’une grande variété de scénarios combinant imagerie et thérapie sur un patient virtuel lui aussi modélisable. Le principal problème actuellement est de pouvoir intégrer ensemble toutes les échelles de taille si différentes</w:t>
      </w:r>
      <w:r w:rsidR="006411DD">
        <w:t xml:space="preserve"> (ADN&lt;noyau&lt;cellules&lt;microenvironnement&lt;organe&lt;corps). L’action des nanoparticules lors d’une radiothérapie sera aussi implémentée dans </w:t>
      </w:r>
      <w:proofErr w:type="spellStart"/>
      <w:r w:rsidR="006411DD">
        <w:t>tGATE</w:t>
      </w:r>
      <w:proofErr w:type="spellEnd"/>
      <w:r w:rsidR="006411DD">
        <w:t>. Radiobiologie : Le développement des outils de simulation vont concerner, comme pour G4DNA, la modélisation de la géométrie de l’ADN à partir de structure issues de la PDB. Aujourd’hui une chaine organisée aléatoirement de nucléosome est disponible ainsi qu’une modélisation d’une population de cellule.</w:t>
      </w:r>
      <w:r w:rsidR="00B9025A">
        <w:t xml:space="preserve"> Accélération de temps de calculs : possibilité d’utiliser les GPU pour accélérer les temps de calculs ; des recherches pour faire fonctionner GATE sur les architectures multiprocesseurs (Intel </w:t>
      </w:r>
      <w:proofErr w:type="spellStart"/>
      <w:r w:rsidR="00B9025A">
        <w:t>Xéon</w:t>
      </w:r>
      <w:proofErr w:type="spellEnd"/>
      <w:r w:rsidR="00B9025A">
        <w:t xml:space="preserve"> Phi) sont en cours ainsi qu’un travail pour faire fonctionner GATE avec Géant4-MT (</w:t>
      </w:r>
      <w:proofErr w:type="spellStart"/>
      <w:r w:rsidR="00B9025A">
        <w:t>multi-threading</w:t>
      </w:r>
      <w:proofErr w:type="spellEnd"/>
      <w:r w:rsidR="00B9025A">
        <w:t>).</w:t>
      </w:r>
    </w:p>
    <w:p w:rsidR="00B9025A" w:rsidRDefault="00B9025A" w:rsidP="004570DF">
      <w:pPr>
        <w:jc w:val="both"/>
      </w:pPr>
      <w:r>
        <w:t>La dernière release de GATE est la V7.1, cet été sera libérée la V7.2</w:t>
      </w:r>
      <w:r w:rsidR="001A59B5">
        <w:t xml:space="preserve"> qui permettra des calculs plus rapides. </w:t>
      </w:r>
    </w:p>
    <w:p w:rsidR="001D3DB2" w:rsidRDefault="00C52EC5" w:rsidP="004570DF">
      <w:pPr>
        <w:pStyle w:val="Titre2"/>
        <w:jc w:val="both"/>
      </w:pPr>
      <w:r>
        <w:t xml:space="preserve">Gérard </w:t>
      </w:r>
      <w:proofErr w:type="spellStart"/>
      <w:r>
        <w:t>Montarou</w:t>
      </w:r>
      <w:proofErr w:type="spellEnd"/>
      <w:r>
        <w:t xml:space="preserve"> : </w:t>
      </w:r>
      <w:r w:rsidR="002743FB">
        <w:t xml:space="preserve">MKM - </w:t>
      </w:r>
      <w:r>
        <w:t xml:space="preserve">Modèles </w:t>
      </w:r>
      <w:proofErr w:type="spellStart"/>
      <w:r>
        <w:t>Microdosimétriques</w:t>
      </w:r>
      <w:proofErr w:type="spellEnd"/>
      <w:r>
        <w:t xml:space="preserve"> Cinétiques</w:t>
      </w:r>
    </w:p>
    <w:p w:rsidR="00C52EC5" w:rsidRPr="00C52EC5" w:rsidRDefault="00C52EC5" w:rsidP="004570DF">
      <w:pPr>
        <w:jc w:val="both"/>
      </w:pPr>
      <w:r>
        <w:t xml:space="preserve">Dans les TPS d’hadronthérapie, la dose biologique déposée est donnée par la dose physique reçue multipliée par l’efficacité biologique relative (RBE). Pour les protons, le RBE est communément fixé à 1,1. Pour les ions plus lourds, ce RBE varie dans le microenvironnement </w:t>
      </w:r>
      <w:r w:rsidR="0007404E">
        <w:t xml:space="preserve">considéré et </w:t>
      </w:r>
      <w:r>
        <w:t>notamment selon la valeur locale du TEL</w:t>
      </w:r>
      <w:r w:rsidR="008038DD">
        <w:t xml:space="preserve"> ou le type cellulaire </w:t>
      </w:r>
      <w:r w:rsidR="0007404E">
        <w:t>présent</w:t>
      </w:r>
      <w:r>
        <w:t xml:space="preserve">. Ces RBE peuvent </w:t>
      </w:r>
      <w:r w:rsidR="008038DD">
        <w:t>être</w:t>
      </w:r>
      <w:r>
        <w:t xml:space="preserve"> estimés avec des expériences de </w:t>
      </w:r>
      <w:r w:rsidR="008038DD">
        <w:t xml:space="preserve">fraction de survie cellulaire </w:t>
      </w:r>
      <w:r w:rsidR="008038DD" w:rsidRPr="008038DD">
        <w:rPr>
          <w:i/>
        </w:rPr>
        <w:t>in vitro</w:t>
      </w:r>
      <w:r w:rsidR="008038DD">
        <w:t xml:space="preserve">. Le modèle MKM fut développé entre 1994 et 2009 par R.B. Hawkins et prend en compte les </w:t>
      </w:r>
      <w:r w:rsidR="007D1DC1">
        <w:t xml:space="preserve">composantes létales et </w:t>
      </w:r>
      <w:proofErr w:type="spellStart"/>
      <w:r w:rsidR="007D1DC1">
        <w:t>sublétales</w:t>
      </w:r>
      <w:proofErr w:type="spellEnd"/>
      <w:r w:rsidR="008038DD">
        <w:t xml:space="preserve"> de la mort cellulaire dans la relation </w:t>
      </w:r>
      <w:r w:rsidR="007D1DC1">
        <w:t>linéaire</w:t>
      </w:r>
      <w:r w:rsidR="008038DD">
        <w:t xml:space="preserve"> quadratique. </w:t>
      </w:r>
    </w:p>
    <w:p w:rsidR="0041448C" w:rsidRDefault="007D1DC1" w:rsidP="004570DF">
      <w:pPr>
        <w:jc w:val="both"/>
      </w:pPr>
      <w:r w:rsidRPr="007D1DC1">
        <w:rPr>
          <w:color w:val="FF0000"/>
        </w:rPr>
        <w:t>Ici sonne le glas de ma compréhension</w:t>
      </w:r>
      <w:r>
        <w:rPr>
          <w:color w:val="FF0000"/>
        </w:rPr>
        <w:t xml:space="preserve"> sur la </w:t>
      </w:r>
      <w:r w:rsidR="002743FB">
        <w:rPr>
          <w:color w:val="FF0000"/>
        </w:rPr>
        <w:t>présentation</w:t>
      </w:r>
      <w:r>
        <w:t>…</w:t>
      </w:r>
    </w:p>
    <w:p w:rsidR="007D1DC1" w:rsidRDefault="000C0CB6" w:rsidP="004570DF">
      <w:pPr>
        <w:pStyle w:val="Titre2"/>
        <w:jc w:val="both"/>
      </w:pPr>
      <w:r>
        <w:t xml:space="preserve">Jean-Marc </w:t>
      </w:r>
      <w:proofErr w:type="spellStart"/>
      <w:r>
        <w:t>Fontbonne</w:t>
      </w:r>
      <w:proofErr w:type="spellEnd"/>
      <w:r>
        <w:t xml:space="preserve"> : PMRT Plateforme de Modélisation pour la </w:t>
      </w:r>
      <w:proofErr w:type="spellStart"/>
      <w:r>
        <w:t>RadioThérapie</w:t>
      </w:r>
      <w:proofErr w:type="spellEnd"/>
    </w:p>
    <w:p w:rsidR="000C0CB6" w:rsidRDefault="000C0CB6" w:rsidP="004570DF">
      <w:pPr>
        <w:jc w:val="both"/>
      </w:pPr>
      <w:r>
        <w:t>L</w:t>
      </w:r>
      <w:r w:rsidR="0007404E">
        <w:t>a RT externe est une technique</w:t>
      </w:r>
      <w:r>
        <w:t xml:space="preserve"> pour laquelle les doses locales absorbées par les patients sont parfaitement connus. Un TPS, pour avoir sa certification</w:t>
      </w:r>
      <w:r w:rsidR="0007404E">
        <w:t>,</w:t>
      </w:r>
      <w:r>
        <w:t xml:space="preserve"> doit avoir une précision </w:t>
      </w:r>
      <w:r w:rsidR="0007404E">
        <w:t xml:space="preserve">inférieure à </w:t>
      </w:r>
      <w:r>
        <w:t xml:space="preserve"> 3% de la dose effectivement déposée. Aujourd’hui en RT, la prescription est donnée en « dose » déposée suivant les règles : typiquement 30x2 Gy à la tumeur, jamais plus de 40 Gy en un point du tissu sain, ni jamais plus de 10 Gy sur 30% du volume sain. Avec </w:t>
      </w:r>
      <w:r w:rsidR="00DC63AA">
        <w:t xml:space="preserve">la </w:t>
      </w:r>
      <w:r>
        <w:t>PMRT, la problématique est de passer d’une cartographie de doses à une cartographie des effets biologiques, notamment en termes de risques encourus par le patient (pour info voir le rapport APPM 166)</w:t>
      </w:r>
      <w:r w:rsidR="00DC63AA">
        <w:t xml:space="preserve">. </w:t>
      </w:r>
      <w:r w:rsidR="0019251F">
        <w:t xml:space="preserve">C’est un outil d’aide de prise à la </w:t>
      </w:r>
      <w:r w:rsidR="0006041A">
        <w:t>décision</w:t>
      </w:r>
      <w:r w:rsidR="0019251F">
        <w:t xml:space="preserve"> à travers la connaissance des conséquences biologiques. Pour ce faire, l</w:t>
      </w:r>
      <w:r w:rsidR="00DC63AA">
        <w:t xml:space="preserve">es données issues d’essais médicaux ou d’analyses de cohortes </w:t>
      </w:r>
      <w:r w:rsidR="0019251F">
        <w:t>alimenteront</w:t>
      </w:r>
      <w:r w:rsidR="00DC63AA">
        <w:t xml:space="preserve"> des modèles numériques afin de simuler </w:t>
      </w:r>
      <w:r w:rsidR="0007404E">
        <w:t>les effets du</w:t>
      </w:r>
      <w:r w:rsidR="00DC63AA">
        <w:t xml:space="preserve"> traitement en </w:t>
      </w:r>
      <w:r w:rsidR="0019251F">
        <w:t xml:space="preserve">termes </w:t>
      </w:r>
      <w:r w:rsidR="0007404E">
        <w:t>de conséquences</w:t>
      </w:r>
      <w:r w:rsidR="00DC63AA">
        <w:t xml:space="preserve"> biologiques</w:t>
      </w:r>
      <w:r w:rsidR="0019251F">
        <w:t xml:space="preserve">. Afin d’adapter au mieux la décision, ces simulations seront aussi fonction du dossier médical du patient à traiter. J.M. </w:t>
      </w:r>
      <w:proofErr w:type="spellStart"/>
      <w:r w:rsidR="0019251F">
        <w:t>Fontebonne</w:t>
      </w:r>
      <w:proofErr w:type="spellEnd"/>
      <w:r w:rsidR="0019251F">
        <w:t xml:space="preserve"> présente l’architecture de la PMRT</w:t>
      </w:r>
      <w:r w:rsidR="0006041A">
        <w:t xml:space="preserve"> </w:t>
      </w:r>
      <w:r w:rsidR="0007404E">
        <w:t xml:space="preserve">qui </w:t>
      </w:r>
      <w:r w:rsidR="0006041A">
        <w:t>compr</w:t>
      </w:r>
      <w:r w:rsidR="0007404E">
        <w:t>end</w:t>
      </w:r>
      <w:r w:rsidR="0006041A">
        <w:t xml:space="preserve"> une boucle de retour d’expérience</w:t>
      </w:r>
      <w:r w:rsidR="0007404E">
        <w:t xml:space="preserve"> pour l’implémentation continue des données</w:t>
      </w:r>
      <w:r w:rsidR="0006041A">
        <w:t>.</w:t>
      </w:r>
    </w:p>
    <w:p w:rsidR="0055591D" w:rsidRDefault="0019251F" w:rsidP="004570DF">
      <w:pPr>
        <w:jc w:val="both"/>
      </w:pPr>
      <w:r>
        <w:lastRenderedPageBreak/>
        <w:t xml:space="preserve">La principale difficulté rencontrée </w:t>
      </w:r>
      <w:r w:rsidR="0007404E">
        <w:t>pour la construction de PMRT</w:t>
      </w:r>
      <w:r>
        <w:t xml:space="preserve"> est la création de</w:t>
      </w:r>
      <w:r w:rsidR="0007404E">
        <w:t>s</w:t>
      </w:r>
      <w:r>
        <w:t xml:space="preserve"> bases de données comportant les dossiers médicaux des patients</w:t>
      </w:r>
      <w:r w:rsidR="0007404E">
        <w:t>. Cette collecte est</w:t>
      </w:r>
      <w:r>
        <w:t xml:space="preserve"> limitée par les lois de protection des données personnelles. </w:t>
      </w:r>
      <w:r w:rsidR="0006041A">
        <w:t xml:space="preserve">J. </w:t>
      </w:r>
      <w:proofErr w:type="spellStart"/>
      <w:r w:rsidR="0006041A">
        <w:t>Balosso</w:t>
      </w:r>
      <w:proofErr w:type="spellEnd"/>
      <w:r w:rsidR="0006041A">
        <w:t xml:space="preserve"> précise qu’en respect des règles de la CNIL, la base de données peut être </w:t>
      </w:r>
      <w:proofErr w:type="spellStart"/>
      <w:r w:rsidR="0006041A">
        <w:t>anonymisée</w:t>
      </w:r>
      <w:proofErr w:type="spellEnd"/>
      <w:r w:rsidR="0006041A">
        <w:t xml:space="preserve"> par un clinicien mais que cela implique un travail chronophage.</w:t>
      </w:r>
    </w:p>
    <w:p w:rsidR="0006041A" w:rsidRDefault="0006041A" w:rsidP="004570DF">
      <w:pPr>
        <w:jc w:val="both"/>
      </w:pPr>
      <w:r>
        <w:t xml:space="preserve">N.B. Le projet de la PMRT est en dehors du cadre de </w:t>
      </w:r>
      <w:r w:rsidRPr="0006041A">
        <w:rPr>
          <w:i/>
        </w:rPr>
        <w:t>France HADRON</w:t>
      </w:r>
      <w:r>
        <w:t>.</w:t>
      </w:r>
    </w:p>
    <w:p w:rsidR="0006041A" w:rsidRDefault="00036A33" w:rsidP="004570DF">
      <w:pPr>
        <w:pStyle w:val="Titre2"/>
        <w:jc w:val="both"/>
      </w:pPr>
      <w:r>
        <w:t>Conclusions</w:t>
      </w:r>
    </w:p>
    <w:p w:rsidR="00036A33" w:rsidRDefault="00036A33" w:rsidP="004570DF">
      <w:pPr>
        <w:jc w:val="both"/>
      </w:pPr>
      <w:r>
        <w:t xml:space="preserve">Cette première réunion annuelle a permis de faire le point sur la thématique après deux ans de fonctionnement de </w:t>
      </w:r>
      <w:r w:rsidRPr="00036A33">
        <w:rPr>
          <w:i/>
        </w:rPr>
        <w:t>France HADRON</w:t>
      </w:r>
      <w:r>
        <w:t xml:space="preserve">. Elle révèle le dynamisme </w:t>
      </w:r>
      <w:r w:rsidR="007A733E">
        <w:t>des équipes de ce WP positionné à la confluence des WP3 et WP4.</w:t>
      </w:r>
      <w:r>
        <w:t xml:space="preserve"> </w:t>
      </w:r>
    </w:p>
    <w:p w:rsidR="00036A33" w:rsidRDefault="00036A33" w:rsidP="004570DF">
      <w:pPr>
        <w:jc w:val="both"/>
      </w:pPr>
      <w:r>
        <w:t xml:space="preserve">Problématiques du WP2.4 : on note l’absence des équipes ainsi que l’apparente absence de résultats. Un travail de réflexion doit être entrepris pour impliquer l’équipe lyonnaise et l’équipe toulousaine. La solution pourrait être d’identifier comment épauler ces équipes qui n’ont pas besoin de temps de faisceau ; principale forme d’aide de </w:t>
      </w:r>
      <w:proofErr w:type="spellStart"/>
      <w:r>
        <w:t>FrHA</w:t>
      </w:r>
      <w:proofErr w:type="spellEnd"/>
      <w:r>
        <w:t xml:space="preserve">. </w:t>
      </w:r>
    </w:p>
    <w:p w:rsidR="00036A33" w:rsidRPr="00036A33" w:rsidRDefault="00036A33" w:rsidP="004570DF">
      <w:pPr>
        <w:jc w:val="both"/>
      </w:pPr>
      <w:r>
        <w:t>D’ici cet été, il conviendra d’organiser une réunion dans le but de définir les besoins en équipement et l’agencement des salles de recherche d’ARCHADE. Cette réunion devra mobiliser les WP2, WP3 et WP4.</w:t>
      </w:r>
    </w:p>
    <w:p w:rsidR="0055591D" w:rsidRPr="0055591D" w:rsidRDefault="0055591D" w:rsidP="004570DF">
      <w:pPr>
        <w:jc w:val="both"/>
      </w:pPr>
    </w:p>
    <w:sectPr w:rsidR="0055591D" w:rsidRPr="0055591D" w:rsidSect="00F917E1">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701" w:rsidRDefault="00390701" w:rsidP="0055591D">
      <w:pPr>
        <w:spacing w:after="0" w:line="240" w:lineRule="auto"/>
      </w:pPr>
      <w:r>
        <w:separator/>
      </w:r>
    </w:p>
  </w:endnote>
  <w:endnote w:type="continuationSeparator" w:id="0">
    <w:p w:rsidR="00390701" w:rsidRDefault="00390701" w:rsidP="00555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0726522"/>
      <w:docPartObj>
        <w:docPartGallery w:val="Page Numbers (Bottom of Page)"/>
        <w:docPartUnique/>
      </w:docPartObj>
    </w:sdtPr>
    <w:sdtEndPr/>
    <w:sdtContent>
      <w:p w:rsidR="0055591D" w:rsidRDefault="0055591D">
        <w:pPr>
          <w:pStyle w:val="Pieddepage"/>
        </w:pPr>
        <w:r>
          <w:rPr>
            <w:noProof/>
            <w:lang w:eastAsia="fr-FR"/>
          </w:rPr>
          <w:drawing>
            <wp:anchor distT="0" distB="0" distL="114300" distR="114300" simplePos="0" relativeHeight="251658240" behindDoc="0" locked="0" layoutInCell="1" allowOverlap="1" wp14:anchorId="3D78D841" wp14:editId="600CFBD2">
              <wp:simplePos x="0" y="0"/>
              <wp:positionH relativeFrom="margin">
                <wp:align>center</wp:align>
              </wp:positionH>
              <wp:positionV relativeFrom="paragraph">
                <wp:posOffset>8255</wp:posOffset>
              </wp:positionV>
              <wp:extent cx="2937510" cy="534670"/>
              <wp:effectExtent l="0" t="0" r="0" b="17780"/>
              <wp:wrapThrough wrapText="bothSides">
                <wp:wrapPolygon edited="0">
                  <wp:start x="16109" y="3078"/>
                  <wp:lineTo x="2802" y="4618"/>
                  <wp:lineTo x="2802" y="13083"/>
                  <wp:lineTo x="3222" y="17701"/>
                  <wp:lineTo x="11486" y="20010"/>
                  <wp:lineTo x="14148" y="21549"/>
                  <wp:lineTo x="14708" y="21549"/>
                  <wp:lineTo x="15268" y="20010"/>
                  <wp:lineTo x="18490" y="17701"/>
                  <wp:lineTo x="18490" y="16931"/>
                  <wp:lineTo x="19191" y="7696"/>
                  <wp:lineTo x="18770" y="4618"/>
                  <wp:lineTo x="16669" y="3078"/>
                  <wp:lineTo x="16109" y="3078"/>
                </wp:wrapPolygon>
              </wp:wrapThrough>
              <wp:docPr id="11" name="Image 11" descr="D:\Mes_documents_locaux\Pictures\FranceHadron entête docu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es_documents_locaux\Pictures\FranceHadron entête document.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37510" cy="534670"/>
                      </a:xfrm>
                      <a:prstGeom prst="rect">
                        <a:avLst/>
                      </a:prstGeom>
                      <a:noFill/>
                      <a:ln>
                        <a:noFill/>
                      </a:ln>
                      <a:effectLst>
                        <a:outerShdw blurRad="50800" dist="38100" dir="2700000" algn="tl" rotWithShape="0">
                          <a:prstClr val="black">
                            <a:alpha val="27000"/>
                          </a:prstClr>
                        </a:outerShdw>
                      </a:effectLst>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07404E">
          <w:rPr>
            <w:noProof/>
          </w:rPr>
          <w:t>5</w:t>
        </w:r>
        <w:r>
          <w:fldChar w:fldCharType="end"/>
        </w:r>
        <w:r>
          <w:tab/>
        </w:r>
      </w:p>
    </w:sdtContent>
  </w:sdt>
  <w:p w:rsidR="0055591D" w:rsidRDefault="0055591D" w:rsidP="0055591D">
    <w:pPr>
      <w:pStyle w:val="Pieddepag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701" w:rsidRDefault="00390701" w:rsidP="0055591D">
      <w:pPr>
        <w:spacing w:after="0" w:line="240" w:lineRule="auto"/>
      </w:pPr>
      <w:r>
        <w:separator/>
      </w:r>
    </w:p>
  </w:footnote>
  <w:footnote w:type="continuationSeparator" w:id="0">
    <w:p w:rsidR="00390701" w:rsidRDefault="00390701" w:rsidP="005559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C192F"/>
    <w:multiLevelType w:val="hybridMultilevel"/>
    <w:tmpl w:val="8F5E92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E41673A"/>
    <w:multiLevelType w:val="hybridMultilevel"/>
    <w:tmpl w:val="743ECBFE"/>
    <w:lvl w:ilvl="0" w:tplc="9CD883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FD36A49"/>
    <w:multiLevelType w:val="hybridMultilevel"/>
    <w:tmpl w:val="7668D7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1954495"/>
    <w:multiLevelType w:val="hybridMultilevel"/>
    <w:tmpl w:val="5DF2A812"/>
    <w:lvl w:ilvl="0" w:tplc="7B08629C">
      <w:numFmt w:val="bullet"/>
      <w:lvlText w:val="-"/>
      <w:lvlJc w:val="left"/>
      <w:pPr>
        <w:ind w:left="3900" w:hanging="360"/>
      </w:pPr>
      <w:rPr>
        <w:rFonts w:ascii="Calibri" w:eastAsiaTheme="minorEastAsia" w:hAnsi="Calibri" w:cstheme="minorBidi" w:hint="default"/>
      </w:rPr>
    </w:lvl>
    <w:lvl w:ilvl="1" w:tplc="040C0003" w:tentative="1">
      <w:start w:val="1"/>
      <w:numFmt w:val="bullet"/>
      <w:lvlText w:val="o"/>
      <w:lvlJc w:val="left"/>
      <w:pPr>
        <w:ind w:left="4620" w:hanging="360"/>
      </w:pPr>
      <w:rPr>
        <w:rFonts w:ascii="Courier New" w:hAnsi="Courier New" w:cs="Courier New" w:hint="default"/>
      </w:rPr>
    </w:lvl>
    <w:lvl w:ilvl="2" w:tplc="040C0005" w:tentative="1">
      <w:start w:val="1"/>
      <w:numFmt w:val="bullet"/>
      <w:lvlText w:val=""/>
      <w:lvlJc w:val="left"/>
      <w:pPr>
        <w:ind w:left="5340" w:hanging="360"/>
      </w:pPr>
      <w:rPr>
        <w:rFonts w:ascii="Wingdings" w:hAnsi="Wingdings" w:hint="default"/>
      </w:rPr>
    </w:lvl>
    <w:lvl w:ilvl="3" w:tplc="040C0001" w:tentative="1">
      <w:start w:val="1"/>
      <w:numFmt w:val="bullet"/>
      <w:lvlText w:val=""/>
      <w:lvlJc w:val="left"/>
      <w:pPr>
        <w:ind w:left="6060" w:hanging="360"/>
      </w:pPr>
      <w:rPr>
        <w:rFonts w:ascii="Symbol" w:hAnsi="Symbol" w:hint="default"/>
      </w:rPr>
    </w:lvl>
    <w:lvl w:ilvl="4" w:tplc="040C0003" w:tentative="1">
      <w:start w:val="1"/>
      <w:numFmt w:val="bullet"/>
      <w:lvlText w:val="o"/>
      <w:lvlJc w:val="left"/>
      <w:pPr>
        <w:ind w:left="6780" w:hanging="360"/>
      </w:pPr>
      <w:rPr>
        <w:rFonts w:ascii="Courier New" w:hAnsi="Courier New" w:cs="Courier New" w:hint="default"/>
      </w:rPr>
    </w:lvl>
    <w:lvl w:ilvl="5" w:tplc="040C0005" w:tentative="1">
      <w:start w:val="1"/>
      <w:numFmt w:val="bullet"/>
      <w:lvlText w:val=""/>
      <w:lvlJc w:val="left"/>
      <w:pPr>
        <w:ind w:left="7500" w:hanging="360"/>
      </w:pPr>
      <w:rPr>
        <w:rFonts w:ascii="Wingdings" w:hAnsi="Wingdings" w:hint="default"/>
      </w:rPr>
    </w:lvl>
    <w:lvl w:ilvl="6" w:tplc="040C0001" w:tentative="1">
      <w:start w:val="1"/>
      <w:numFmt w:val="bullet"/>
      <w:lvlText w:val=""/>
      <w:lvlJc w:val="left"/>
      <w:pPr>
        <w:ind w:left="8220" w:hanging="360"/>
      </w:pPr>
      <w:rPr>
        <w:rFonts w:ascii="Symbol" w:hAnsi="Symbol" w:hint="default"/>
      </w:rPr>
    </w:lvl>
    <w:lvl w:ilvl="7" w:tplc="040C0003" w:tentative="1">
      <w:start w:val="1"/>
      <w:numFmt w:val="bullet"/>
      <w:lvlText w:val="o"/>
      <w:lvlJc w:val="left"/>
      <w:pPr>
        <w:ind w:left="8940" w:hanging="360"/>
      </w:pPr>
      <w:rPr>
        <w:rFonts w:ascii="Courier New" w:hAnsi="Courier New" w:cs="Courier New" w:hint="default"/>
      </w:rPr>
    </w:lvl>
    <w:lvl w:ilvl="8" w:tplc="040C0005" w:tentative="1">
      <w:start w:val="1"/>
      <w:numFmt w:val="bullet"/>
      <w:lvlText w:val=""/>
      <w:lvlJc w:val="left"/>
      <w:pPr>
        <w:ind w:left="9660" w:hanging="360"/>
      </w:pPr>
      <w:rPr>
        <w:rFonts w:ascii="Wingdings" w:hAnsi="Wingdings" w:hint="default"/>
      </w:rPr>
    </w:lvl>
  </w:abstractNum>
  <w:abstractNum w:abstractNumId="4">
    <w:nsid w:val="560D77DD"/>
    <w:multiLevelType w:val="hybridMultilevel"/>
    <w:tmpl w:val="9E189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C1F7B86"/>
    <w:multiLevelType w:val="hybridMultilevel"/>
    <w:tmpl w:val="5FD4BF6A"/>
    <w:lvl w:ilvl="0" w:tplc="A2DC499C">
      <w:numFmt w:val="bullet"/>
      <w:lvlText w:val="-"/>
      <w:lvlJc w:val="left"/>
      <w:pPr>
        <w:ind w:left="2490" w:hanging="360"/>
      </w:pPr>
      <w:rPr>
        <w:rFonts w:ascii="Calibri" w:eastAsiaTheme="minorEastAsia" w:hAnsi="Calibri" w:cstheme="minorBidi" w:hint="default"/>
      </w:rPr>
    </w:lvl>
    <w:lvl w:ilvl="1" w:tplc="040C0003" w:tentative="1">
      <w:start w:val="1"/>
      <w:numFmt w:val="bullet"/>
      <w:lvlText w:val="o"/>
      <w:lvlJc w:val="left"/>
      <w:pPr>
        <w:ind w:left="3210" w:hanging="360"/>
      </w:pPr>
      <w:rPr>
        <w:rFonts w:ascii="Courier New" w:hAnsi="Courier New" w:cs="Courier New" w:hint="default"/>
      </w:rPr>
    </w:lvl>
    <w:lvl w:ilvl="2" w:tplc="040C0005" w:tentative="1">
      <w:start w:val="1"/>
      <w:numFmt w:val="bullet"/>
      <w:lvlText w:val=""/>
      <w:lvlJc w:val="left"/>
      <w:pPr>
        <w:ind w:left="3930" w:hanging="360"/>
      </w:pPr>
      <w:rPr>
        <w:rFonts w:ascii="Wingdings" w:hAnsi="Wingdings" w:hint="default"/>
      </w:rPr>
    </w:lvl>
    <w:lvl w:ilvl="3" w:tplc="040C0001" w:tentative="1">
      <w:start w:val="1"/>
      <w:numFmt w:val="bullet"/>
      <w:lvlText w:val=""/>
      <w:lvlJc w:val="left"/>
      <w:pPr>
        <w:ind w:left="4650" w:hanging="360"/>
      </w:pPr>
      <w:rPr>
        <w:rFonts w:ascii="Symbol" w:hAnsi="Symbol" w:hint="default"/>
      </w:rPr>
    </w:lvl>
    <w:lvl w:ilvl="4" w:tplc="040C0003" w:tentative="1">
      <w:start w:val="1"/>
      <w:numFmt w:val="bullet"/>
      <w:lvlText w:val="o"/>
      <w:lvlJc w:val="left"/>
      <w:pPr>
        <w:ind w:left="5370" w:hanging="360"/>
      </w:pPr>
      <w:rPr>
        <w:rFonts w:ascii="Courier New" w:hAnsi="Courier New" w:cs="Courier New" w:hint="default"/>
      </w:rPr>
    </w:lvl>
    <w:lvl w:ilvl="5" w:tplc="040C0005" w:tentative="1">
      <w:start w:val="1"/>
      <w:numFmt w:val="bullet"/>
      <w:lvlText w:val=""/>
      <w:lvlJc w:val="left"/>
      <w:pPr>
        <w:ind w:left="6090" w:hanging="360"/>
      </w:pPr>
      <w:rPr>
        <w:rFonts w:ascii="Wingdings" w:hAnsi="Wingdings" w:hint="default"/>
      </w:rPr>
    </w:lvl>
    <w:lvl w:ilvl="6" w:tplc="040C0001" w:tentative="1">
      <w:start w:val="1"/>
      <w:numFmt w:val="bullet"/>
      <w:lvlText w:val=""/>
      <w:lvlJc w:val="left"/>
      <w:pPr>
        <w:ind w:left="6810" w:hanging="360"/>
      </w:pPr>
      <w:rPr>
        <w:rFonts w:ascii="Symbol" w:hAnsi="Symbol" w:hint="default"/>
      </w:rPr>
    </w:lvl>
    <w:lvl w:ilvl="7" w:tplc="040C0003" w:tentative="1">
      <w:start w:val="1"/>
      <w:numFmt w:val="bullet"/>
      <w:lvlText w:val="o"/>
      <w:lvlJc w:val="left"/>
      <w:pPr>
        <w:ind w:left="7530" w:hanging="360"/>
      </w:pPr>
      <w:rPr>
        <w:rFonts w:ascii="Courier New" w:hAnsi="Courier New" w:cs="Courier New" w:hint="default"/>
      </w:rPr>
    </w:lvl>
    <w:lvl w:ilvl="8" w:tplc="040C0005" w:tentative="1">
      <w:start w:val="1"/>
      <w:numFmt w:val="bullet"/>
      <w:lvlText w:val=""/>
      <w:lvlJc w:val="left"/>
      <w:pPr>
        <w:ind w:left="825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3B8"/>
    <w:rsid w:val="00036A33"/>
    <w:rsid w:val="0006041A"/>
    <w:rsid w:val="0007404E"/>
    <w:rsid w:val="00094C20"/>
    <w:rsid w:val="000C0CB6"/>
    <w:rsid w:val="001633B8"/>
    <w:rsid w:val="00187932"/>
    <w:rsid w:val="00187A88"/>
    <w:rsid w:val="0019251F"/>
    <w:rsid w:val="001A59B5"/>
    <w:rsid w:val="001D3DB2"/>
    <w:rsid w:val="0023788A"/>
    <w:rsid w:val="0024140D"/>
    <w:rsid w:val="00257E64"/>
    <w:rsid w:val="00260149"/>
    <w:rsid w:val="002743FB"/>
    <w:rsid w:val="00277911"/>
    <w:rsid w:val="003043C7"/>
    <w:rsid w:val="00311689"/>
    <w:rsid w:val="00390701"/>
    <w:rsid w:val="0039217C"/>
    <w:rsid w:val="003C4FFE"/>
    <w:rsid w:val="003F2E71"/>
    <w:rsid w:val="0041448C"/>
    <w:rsid w:val="004159F4"/>
    <w:rsid w:val="004570DF"/>
    <w:rsid w:val="0055591D"/>
    <w:rsid w:val="00577C34"/>
    <w:rsid w:val="005A76A6"/>
    <w:rsid w:val="005D58B0"/>
    <w:rsid w:val="006411DD"/>
    <w:rsid w:val="006B64A8"/>
    <w:rsid w:val="007A733E"/>
    <w:rsid w:val="007D1DC1"/>
    <w:rsid w:val="007F4AFB"/>
    <w:rsid w:val="007F4E44"/>
    <w:rsid w:val="008038DD"/>
    <w:rsid w:val="00863F67"/>
    <w:rsid w:val="008700B0"/>
    <w:rsid w:val="008B1846"/>
    <w:rsid w:val="00936939"/>
    <w:rsid w:val="00944076"/>
    <w:rsid w:val="009458E5"/>
    <w:rsid w:val="00991715"/>
    <w:rsid w:val="0099207E"/>
    <w:rsid w:val="009C3313"/>
    <w:rsid w:val="00A55D1C"/>
    <w:rsid w:val="00A74DCD"/>
    <w:rsid w:val="00AB731A"/>
    <w:rsid w:val="00AB74D3"/>
    <w:rsid w:val="00AD43C4"/>
    <w:rsid w:val="00B027F7"/>
    <w:rsid w:val="00B7057E"/>
    <w:rsid w:val="00B9025A"/>
    <w:rsid w:val="00B91D37"/>
    <w:rsid w:val="00BF6952"/>
    <w:rsid w:val="00C07943"/>
    <w:rsid w:val="00C50084"/>
    <w:rsid w:val="00C52EC5"/>
    <w:rsid w:val="00C932AC"/>
    <w:rsid w:val="00CB7602"/>
    <w:rsid w:val="00D43BA5"/>
    <w:rsid w:val="00DC63AA"/>
    <w:rsid w:val="00E33EC2"/>
    <w:rsid w:val="00E739E4"/>
    <w:rsid w:val="00EA760C"/>
    <w:rsid w:val="00ED32AF"/>
    <w:rsid w:val="00F21C4F"/>
    <w:rsid w:val="00F36459"/>
    <w:rsid w:val="00F917E1"/>
    <w:rsid w:val="00F92484"/>
    <w:rsid w:val="00F9300D"/>
    <w:rsid w:val="00FD1F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C02B1A-D91C-4894-884A-2079C10C1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fr-F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91D"/>
  </w:style>
  <w:style w:type="paragraph" w:styleId="Titre1">
    <w:name w:val="heading 1"/>
    <w:basedOn w:val="Normal"/>
    <w:next w:val="Normal"/>
    <w:link w:val="Titre1Car"/>
    <w:uiPriority w:val="9"/>
    <w:qFormat/>
    <w:rsid w:val="0055591D"/>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Titre2">
    <w:name w:val="heading 2"/>
    <w:basedOn w:val="Normal"/>
    <w:next w:val="Normal"/>
    <w:link w:val="Titre2Car"/>
    <w:uiPriority w:val="9"/>
    <w:unhideWhenUsed/>
    <w:qFormat/>
    <w:rsid w:val="0055591D"/>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Titre3">
    <w:name w:val="heading 3"/>
    <w:basedOn w:val="Normal"/>
    <w:next w:val="Normal"/>
    <w:link w:val="Titre3Car"/>
    <w:uiPriority w:val="9"/>
    <w:unhideWhenUsed/>
    <w:qFormat/>
    <w:rsid w:val="0055591D"/>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Titre4">
    <w:name w:val="heading 4"/>
    <w:basedOn w:val="Normal"/>
    <w:next w:val="Normal"/>
    <w:link w:val="Titre4Car"/>
    <w:uiPriority w:val="9"/>
    <w:semiHidden/>
    <w:unhideWhenUsed/>
    <w:qFormat/>
    <w:rsid w:val="0055591D"/>
    <w:pPr>
      <w:keepNext/>
      <w:keepLines/>
      <w:spacing w:before="80" w:after="0"/>
      <w:outlineLvl w:val="3"/>
    </w:pPr>
    <w:rPr>
      <w:rFonts w:asciiTheme="majorHAnsi" w:eastAsiaTheme="majorEastAsia" w:hAnsiTheme="majorHAnsi" w:cstheme="majorBidi"/>
      <w:sz w:val="24"/>
      <w:szCs w:val="24"/>
    </w:rPr>
  </w:style>
  <w:style w:type="paragraph" w:styleId="Titre5">
    <w:name w:val="heading 5"/>
    <w:basedOn w:val="Normal"/>
    <w:next w:val="Normal"/>
    <w:link w:val="Titre5Car"/>
    <w:uiPriority w:val="9"/>
    <w:semiHidden/>
    <w:unhideWhenUsed/>
    <w:qFormat/>
    <w:rsid w:val="0055591D"/>
    <w:pPr>
      <w:keepNext/>
      <w:keepLines/>
      <w:spacing w:before="80" w:after="0"/>
      <w:outlineLvl w:val="4"/>
    </w:pPr>
    <w:rPr>
      <w:rFonts w:asciiTheme="majorHAnsi" w:eastAsiaTheme="majorEastAsia" w:hAnsiTheme="majorHAnsi" w:cstheme="majorBidi"/>
      <w:i/>
      <w:iCs/>
      <w:sz w:val="22"/>
      <w:szCs w:val="22"/>
    </w:rPr>
  </w:style>
  <w:style w:type="paragraph" w:styleId="Titre6">
    <w:name w:val="heading 6"/>
    <w:basedOn w:val="Normal"/>
    <w:next w:val="Normal"/>
    <w:link w:val="Titre6Car"/>
    <w:uiPriority w:val="9"/>
    <w:semiHidden/>
    <w:unhideWhenUsed/>
    <w:qFormat/>
    <w:rsid w:val="0055591D"/>
    <w:pPr>
      <w:keepNext/>
      <w:keepLines/>
      <w:spacing w:before="80" w:after="0"/>
      <w:outlineLvl w:val="5"/>
    </w:pPr>
    <w:rPr>
      <w:rFonts w:asciiTheme="majorHAnsi" w:eastAsiaTheme="majorEastAsia" w:hAnsiTheme="majorHAnsi" w:cstheme="majorBidi"/>
      <w:color w:val="595959" w:themeColor="text1" w:themeTint="A6"/>
    </w:rPr>
  </w:style>
  <w:style w:type="paragraph" w:styleId="Titre7">
    <w:name w:val="heading 7"/>
    <w:basedOn w:val="Normal"/>
    <w:next w:val="Normal"/>
    <w:link w:val="Titre7Car"/>
    <w:uiPriority w:val="9"/>
    <w:semiHidden/>
    <w:unhideWhenUsed/>
    <w:qFormat/>
    <w:rsid w:val="0055591D"/>
    <w:pPr>
      <w:keepNext/>
      <w:keepLines/>
      <w:spacing w:before="80" w:after="0"/>
      <w:outlineLvl w:val="6"/>
    </w:pPr>
    <w:rPr>
      <w:rFonts w:asciiTheme="majorHAnsi" w:eastAsiaTheme="majorEastAsia" w:hAnsiTheme="majorHAnsi" w:cstheme="majorBidi"/>
      <w:i/>
      <w:iCs/>
      <w:color w:val="595959" w:themeColor="text1" w:themeTint="A6"/>
    </w:rPr>
  </w:style>
  <w:style w:type="paragraph" w:styleId="Titre8">
    <w:name w:val="heading 8"/>
    <w:basedOn w:val="Normal"/>
    <w:next w:val="Normal"/>
    <w:link w:val="Titre8Car"/>
    <w:uiPriority w:val="9"/>
    <w:semiHidden/>
    <w:unhideWhenUsed/>
    <w:qFormat/>
    <w:rsid w:val="0055591D"/>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itre9">
    <w:name w:val="heading 9"/>
    <w:basedOn w:val="Normal"/>
    <w:next w:val="Normal"/>
    <w:link w:val="Titre9Car"/>
    <w:uiPriority w:val="9"/>
    <w:semiHidden/>
    <w:unhideWhenUsed/>
    <w:qFormat/>
    <w:rsid w:val="0055591D"/>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5591D"/>
    <w:rPr>
      <w:rFonts w:asciiTheme="majorHAnsi" w:eastAsiaTheme="majorEastAsia" w:hAnsiTheme="majorHAnsi" w:cstheme="majorBidi"/>
      <w:color w:val="2E74B5" w:themeColor="accent1" w:themeShade="BF"/>
      <w:sz w:val="36"/>
      <w:szCs w:val="36"/>
    </w:rPr>
  </w:style>
  <w:style w:type="character" w:styleId="Numrodeligne">
    <w:name w:val="line number"/>
    <w:basedOn w:val="Policepardfaut"/>
    <w:uiPriority w:val="99"/>
    <w:semiHidden/>
    <w:unhideWhenUsed/>
    <w:rsid w:val="0055591D"/>
  </w:style>
  <w:style w:type="character" w:customStyle="1" w:styleId="Titre2Car">
    <w:name w:val="Titre 2 Car"/>
    <w:basedOn w:val="Policepardfaut"/>
    <w:link w:val="Titre2"/>
    <w:uiPriority w:val="9"/>
    <w:rsid w:val="0055591D"/>
    <w:rPr>
      <w:rFonts w:asciiTheme="majorHAnsi" w:eastAsiaTheme="majorEastAsia" w:hAnsiTheme="majorHAnsi" w:cstheme="majorBidi"/>
      <w:color w:val="2E74B5" w:themeColor="accent1" w:themeShade="BF"/>
      <w:sz w:val="28"/>
      <w:szCs w:val="28"/>
    </w:rPr>
  </w:style>
  <w:style w:type="character" w:customStyle="1" w:styleId="Titre3Car">
    <w:name w:val="Titre 3 Car"/>
    <w:basedOn w:val="Policepardfaut"/>
    <w:link w:val="Titre3"/>
    <w:uiPriority w:val="9"/>
    <w:rsid w:val="0055591D"/>
    <w:rPr>
      <w:rFonts w:asciiTheme="majorHAnsi" w:eastAsiaTheme="majorEastAsia" w:hAnsiTheme="majorHAnsi" w:cstheme="majorBidi"/>
      <w:color w:val="404040" w:themeColor="text1" w:themeTint="BF"/>
      <w:sz w:val="26"/>
      <w:szCs w:val="26"/>
    </w:rPr>
  </w:style>
  <w:style w:type="character" w:customStyle="1" w:styleId="Titre4Car">
    <w:name w:val="Titre 4 Car"/>
    <w:basedOn w:val="Policepardfaut"/>
    <w:link w:val="Titre4"/>
    <w:uiPriority w:val="9"/>
    <w:semiHidden/>
    <w:rsid w:val="0055591D"/>
    <w:rPr>
      <w:rFonts w:asciiTheme="majorHAnsi" w:eastAsiaTheme="majorEastAsia" w:hAnsiTheme="majorHAnsi" w:cstheme="majorBidi"/>
      <w:sz w:val="24"/>
      <w:szCs w:val="24"/>
    </w:rPr>
  </w:style>
  <w:style w:type="character" w:customStyle="1" w:styleId="Titre5Car">
    <w:name w:val="Titre 5 Car"/>
    <w:basedOn w:val="Policepardfaut"/>
    <w:link w:val="Titre5"/>
    <w:uiPriority w:val="9"/>
    <w:semiHidden/>
    <w:rsid w:val="0055591D"/>
    <w:rPr>
      <w:rFonts w:asciiTheme="majorHAnsi" w:eastAsiaTheme="majorEastAsia" w:hAnsiTheme="majorHAnsi" w:cstheme="majorBidi"/>
      <w:i/>
      <w:iCs/>
      <w:sz w:val="22"/>
      <w:szCs w:val="22"/>
    </w:rPr>
  </w:style>
  <w:style w:type="character" w:customStyle="1" w:styleId="Titre6Car">
    <w:name w:val="Titre 6 Car"/>
    <w:basedOn w:val="Policepardfaut"/>
    <w:link w:val="Titre6"/>
    <w:uiPriority w:val="9"/>
    <w:semiHidden/>
    <w:rsid w:val="0055591D"/>
    <w:rPr>
      <w:rFonts w:asciiTheme="majorHAnsi" w:eastAsiaTheme="majorEastAsia" w:hAnsiTheme="majorHAnsi" w:cstheme="majorBidi"/>
      <w:color w:val="595959" w:themeColor="text1" w:themeTint="A6"/>
    </w:rPr>
  </w:style>
  <w:style w:type="character" w:customStyle="1" w:styleId="Titre7Car">
    <w:name w:val="Titre 7 Car"/>
    <w:basedOn w:val="Policepardfaut"/>
    <w:link w:val="Titre7"/>
    <w:uiPriority w:val="9"/>
    <w:semiHidden/>
    <w:rsid w:val="0055591D"/>
    <w:rPr>
      <w:rFonts w:asciiTheme="majorHAnsi" w:eastAsiaTheme="majorEastAsia" w:hAnsiTheme="majorHAnsi" w:cstheme="majorBidi"/>
      <w:i/>
      <w:iCs/>
      <w:color w:val="595959" w:themeColor="text1" w:themeTint="A6"/>
    </w:rPr>
  </w:style>
  <w:style w:type="character" w:customStyle="1" w:styleId="Titre8Car">
    <w:name w:val="Titre 8 Car"/>
    <w:basedOn w:val="Policepardfaut"/>
    <w:link w:val="Titre8"/>
    <w:uiPriority w:val="9"/>
    <w:semiHidden/>
    <w:rsid w:val="0055591D"/>
    <w:rPr>
      <w:rFonts w:asciiTheme="majorHAnsi" w:eastAsiaTheme="majorEastAsia" w:hAnsiTheme="majorHAnsi" w:cstheme="majorBidi"/>
      <w:smallCaps/>
      <w:color w:val="595959" w:themeColor="text1" w:themeTint="A6"/>
    </w:rPr>
  </w:style>
  <w:style w:type="character" w:customStyle="1" w:styleId="Titre9Car">
    <w:name w:val="Titre 9 Car"/>
    <w:basedOn w:val="Policepardfaut"/>
    <w:link w:val="Titre9"/>
    <w:uiPriority w:val="9"/>
    <w:semiHidden/>
    <w:rsid w:val="0055591D"/>
    <w:rPr>
      <w:rFonts w:asciiTheme="majorHAnsi" w:eastAsiaTheme="majorEastAsia" w:hAnsiTheme="majorHAnsi" w:cstheme="majorBidi"/>
      <w:i/>
      <w:iCs/>
      <w:smallCaps/>
      <w:color w:val="595959" w:themeColor="text1" w:themeTint="A6"/>
    </w:rPr>
  </w:style>
  <w:style w:type="paragraph" w:styleId="Lgende">
    <w:name w:val="caption"/>
    <w:basedOn w:val="Normal"/>
    <w:next w:val="Normal"/>
    <w:uiPriority w:val="35"/>
    <w:semiHidden/>
    <w:unhideWhenUsed/>
    <w:qFormat/>
    <w:rsid w:val="0055591D"/>
    <w:pPr>
      <w:spacing w:line="240" w:lineRule="auto"/>
    </w:pPr>
    <w:rPr>
      <w:b/>
      <w:bCs/>
      <w:color w:val="404040" w:themeColor="text1" w:themeTint="BF"/>
      <w:sz w:val="20"/>
      <w:szCs w:val="20"/>
    </w:rPr>
  </w:style>
  <w:style w:type="paragraph" w:styleId="Titre">
    <w:name w:val="Title"/>
    <w:basedOn w:val="Normal"/>
    <w:next w:val="Normal"/>
    <w:link w:val="TitreCar"/>
    <w:uiPriority w:val="10"/>
    <w:qFormat/>
    <w:rsid w:val="0055591D"/>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reCar">
    <w:name w:val="Titre Car"/>
    <w:basedOn w:val="Policepardfaut"/>
    <w:link w:val="Titre"/>
    <w:uiPriority w:val="10"/>
    <w:rsid w:val="0055591D"/>
    <w:rPr>
      <w:rFonts w:asciiTheme="majorHAnsi" w:eastAsiaTheme="majorEastAsia" w:hAnsiTheme="majorHAnsi" w:cstheme="majorBidi"/>
      <w:color w:val="2E74B5" w:themeColor="accent1" w:themeShade="BF"/>
      <w:spacing w:val="-7"/>
      <w:sz w:val="80"/>
      <w:szCs w:val="80"/>
    </w:rPr>
  </w:style>
  <w:style w:type="paragraph" w:styleId="Sous-titre">
    <w:name w:val="Subtitle"/>
    <w:basedOn w:val="Normal"/>
    <w:next w:val="Normal"/>
    <w:link w:val="Sous-titreCar"/>
    <w:uiPriority w:val="11"/>
    <w:qFormat/>
    <w:rsid w:val="0055591D"/>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ous-titreCar">
    <w:name w:val="Sous-titre Car"/>
    <w:basedOn w:val="Policepardfaut"/>
    <w:link w:val="Sous-titre"/>
    <w:uiPriority w:val="11"/>
    <w:rsid w:val="0055591D"/>
    <w:rPr>
      <w:rFonts w:asciiTheme="majorHAnsi" w:eastAsiaTheme="majorEastAsia" w:hAnsiTheme="majorHAnsi" w:cstheme="majorBidi"/>
      <w:color w:val="404040" w:themeColor="text1" w:themeTint="BF"/>
      <w:sz w:val="30"/>
      <w:szCs w:val="30"/>
    </w:rPr>
  </w:style>
  <w:style w:type="character" w:styleId="lev">
    <w:name w:val="Strong"/>
    <w:basedOn w:val="Policepardfaut"/>
    <w:uiPriority w:val="22"/>
    <w:qFormat/>
    <w:rsid w:val="0055591D"/>
    <w:rPr>
      <w:b/>
      <w:bCs/>
    </w:rPr>
  </w:style>
  <w:style w:type="character" w:styleId="Accentuation">
    <w:name w:val="Emphasis"/>
    <w:basedOn w:val="Policepardfaut"/>
    <w:uiPriority w:val="20"/>
    <w:qFormat/>
    <w:rsid w:val="0055591D"/>
    <w:rPr>
      <w:i/>
      <w:iCs/>
    </w:rPr>
  </w:style>
  <w:style w:type="paragraph" w:styleId="Sansinterligne">
    <w:name w:val="No Spacing"/>
    <w:uiPriority w:val="1"/>
    <w:qFormat/>
    <w:rsid w:val="0055591D"/>
    <w:pPr>
      <w:spacing w:after="0" w:line="240" w:lineRule="auto"/>
    </w:pPr>
  </w:style>
  <w:style w:type="paragraph" w:styleId="Citation">
    <w:name w:val="Quote"/>
    <w:basedOn w:val="Normal"/>
    <w:next w:val="Normal"/>
    <w:link w:val="CitationCar"/>
    <w:uiPriority w:val="29"/>
    <w:qFormat/>
    <w:rsid w:val="0055591D"/>
    <w:pPr>
      <w:spacing w:before="240" w:after="240" w:line="252" w:lineRule="auto"/>
      <w:ind w:left="864" w:right="864"/>
      <w:jc w:val="center"/>
    </w:pPr>
    <w:rPr>
      <w:i/>
      <w:iCs/>
    </w:rPr>
  </w:style>
  <w:style w:type="character" w:customStyle="1" w:styleId="CitationCar">
    <w:name w:val="Citation Car"/>
    <w:basedOn w:val="Policepardfaut"/>
    <w:link w:val="Citation"/>
    <w:uiPriority w:val="29"/>
    <w:rsid w:val="0055591D"/>
    <w:rPr>
      <w:i/>
      <w:iCs/>
    </w:rPr>
  </w:style>
  <w:style w:type="paragraph" w:styleId="Citationintense">
    <w:name w:val="Intense Quote"/>
    <w:basedOn w:val="Normal"/>
    <w:next w:val="Normal"/>
    <w:link w:val="CitationintenseCar"/>
    <w:uiPriority w:val="30"/>
    <w:qFormat/>
    <w:rsid w:val="0055591D"/>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CitationintenseCar">
    <w:name w:val="Citation intense Car"/>
    <w:basedOn w:val="Policepardfaut"/>
    <w:link w:val="Citationintense"/>
    <w:uiPriority w:val="30"/>
    <w:rsid w:val="0055591D"/>
    <w:rPr>
      <w:rFonts w:asciiTheme="majorHAnsi" w:eastAsiaTheme="majorEastAsia" w:hAnsiTheme="majorHAnsi" w:cstheme="majorBidi"/>
      <w:color w:val="5B9BD5" w:themeColor="accent1"/>
      <w:sz w:val="28"/>
      <w:szCs w:val="28"/>
    </w:rPr>
  </w:style>
  <w:style w:type="character" w:styleId="Emphaseple">
    <w:name w:val="Subtle Emphasis"/>
    <w:basedOn w:val="Policepardfaut"/>
    <w:uiPriority w:val="19"/>
    <w:qFormat/>
    <w:rsid w:val="0055591D"/>
    <w:rPr>
      <w:i/>
      <w:iCs/>
      <w:color w:val="595959" w:themeColor="text1" w:themeTint="A6"/>
    </w:rPr>
  </w:style>
  <w:style w:type="character" w:styleId="Emphaseintense">
    <w:name w:val="Intense Emphasis"/>
    <w:basedOn w:val="Policepardfaut"/>
    <w:uiPriority w:val="21"/>
    <w:qFormat/>
    <w:rsid w:val="0055591D"/>
    <w:rPr>
      <w:b/>
      <w:bCs/>
      <w:i/>
      <w:iCs/>
    </w:rPr>
  </w:style>
  <w:style w:type="character" w:styleId="Rfrenceple">
    <w:name w:val="Subtle Reference"/>
    <w:basedOn w:val="Policepardfaut"/>
    <w:uiPriority w:val="31"/>
    <w:qFormat/>
    <w:rsid w:val="0055591D"/>
    <w:rPr>
      <w:smallCaps/>
      <w:color w:val="404040" w:themeColor="text1" w:themeTint="BF"/>
    </w:rPr>
  </w:style>
  <w:style w:type="character" w:styleId="Rfrenceintense">
    <w:name w:val="Intense Reference"/>
    <w:basedOn w:val="Policepardfaut"/>
    <w:uiPriority w:val="32"/>
    <w:qFormat/>
    <w:rsid w:val="0055591D"/>
    <w:rPr>
      <w:b/>
      <w:bCs/>
      <w:smallCaps/>
      <w:u w:val="single"/>
    </w:rPr>
  </w:style>
  <w:style w:type="character" w:styleId="Titredulivre">
    <w:name w:val="Book Title"/>
    <w:basedOn w:val="Policepardfaut"/>
    <w:uiPriority w:val="33"/>
    <w:qFormat/>
    <w:rsid w:val="0055591D"/>
    <w:rPr>
      <w:b/>
      <w:bCs/>
      <w:smallCaps/>
    </w:rPr>
  </w:style>
  <w:style w:type="paragraph" w:styleId="En-ttedetabledesmatires">
    <w:name w:val="TOC Heading"/>
    <w:basedOn w:val="Titre1"/>
    <w:next w:val="Normal"/>
    <w:uiPriority w:val="39"/>
    <w:semiHidden/>
    <w:unhideWhenUsed/>
    <w:qFormat/>
    <w:rsid w:val="0055591D"/>
    <w:pPr>
      <w:outlineLvl w:val="9"/>
    </w:pPr>
  </w:style>
  <w:style w:type="paragraph" w:styleId="En-tte">
    <w:name w:val="header"/>
    <w:basedOn w:val="Normal"/>
    <w:link w:val="En-tteCar"/>
    <w:uiPriority w:val="99"/>
    <w:unhideWhenUsed/>
    <w:rsid w:val="0055591D"/>
    <w:pPr>
      <w:tabs>
        <w:tab w:val="center" w:pos="4536"/>
        <w:tab w:val="right" w:pos="9072"/>
      </w:tabs>
      <w:spacing w:after="0" w:line="240" w:lineRule="auto"/>
    </w:pPr>
  </w:style>
  <w:style w:type="character" w:customStyle="1" w:styleId="En-tteCar">
    <w:name w:val="En-tête Car"/>
    <w:basedOn w:val="Policepardfaut"/>
    <w:link w:val="En-tte"/>
    <w:uiPriority w:val="99"/>
    <w:rsid w:val="0055591D"/>
  </w:style>
  <w:style w:type="paragraph" w:styleId="Pieddepage">
    <w:name w:val="footer"/>
    <w:basedOn w:val="Normal"/>
    <w:link w:val="PieddepageCar"/>
    <w:uiPriority w:val="99"/>
    <w:unhideWhenUsed/>
    <w:rsid w:val="0055591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5591D"/>
  </w:style>
  <w:style w:type="paragraph" w:styleId="Paragraphedeliste">
    <w:name w:val="List Paragraph"/>
    <w:basedOn w:val="Normal"/>
    <w:uiPriority w:val="34"/>
    <w:qFormat/>
    <w:rsid w:val="00A55D1C"/>
    <w:pPr>
      <w:ind w:left="720"/>
      <w:contextualSpacing/>
    </w:pPr>
  </w:style>
  <w:style w:type="character" w:styleId="Lienhypertexte">
    <w:name w:val="Hyperlink"/>
    <w:basedOn w:val="Policepardfaut"/>
    <w:uiPriority w:val="99"/>
    <w:unhideWhenUsed/>
    <w:rsid w:val="00257E64"/>
    <w:rPr>
      <w:color w:val="0563C1" w:themeColor="hyperlink"/>
      <w:u w:val="single"/>
    </w:rPr>
  </w:style>
  <w:style w:type="character" w:styleId="Marquedecommentaire">
    <w:name w:val="annotation reference"/>
    <w:basedOn w:val="Policepardfaut"/>
    <w:uiPriority w:val="99"/>
    <w:semiHidden/>
    <w:unhideWhenUsed/>
    <w:rsid w:val="004159F4"/>
    <w:rPr>
      <w:sz w:val="16"/>
      <w:szCs w:val="16"/>
    </w:rPr>
  </w:style>
  <w:style w:type="paragraph" w:styleId="Commentaire">
    <w:name w:val="annotation text"/>
    <w:basedOn w:val="Normal"/>
    <w:link w:val="CommentaireCar"/>
    <w:uiPriority w:val="99"/>
    <w:semiHidden/>
    <w:unhideWhenUsed/>
    <w:rsid w:val="004159F4"/>
    <w:pPr>
      <w:spacing w:line="240" w:lineRule="auto"/>
    </w:pPr>
    <w:rPr>
      <w:sz w:val="20"/>
      <w:szCs w:val="20"/>
    </w:rPr>
  </w:style>
  <w:style w:type="character" w:customStyle="1" w:styleId="CommentaireCar">
    <w:name w:val="Commentaire Car"/>
    <w:basedOn w:val="Policepardfaut"/>
    <w:link w:val="Commentaire"/>
    <w:uiPriority w:val="99"/>
    <w:semiHidden/>
    <w:rsid w:val="004159F4"/>
    <w:rPr>
      <w:sz w:val="20"/>
      <w:szCs w:val="20"/>
    </w:rPr>
  </w:style>
  <w:style w:type="paragraph" w:styleId="Objetducommentaire">
    <w:name w:val="annotation subject"/>
    <w:basedOn w:val="Commentaire"/>
    <w:next w:val="Commentaire"/>
    <w:link w:val="ObjetducommentaireCar"/>
    <w:uiPriority w:val="99"/>
    <w:semiHidden/>
    <w:unhideWhenUsed/>
    <w:rsid w:val="004159F4"/>
    <w:rPr>
      <w:b/>
      <w:bCs/>
    </w:rPr>
  </w:style>
  <w:style w:type="character" w:customStyle="1" w:styleId="ObjetducommentaireCar">
    <w:name w:val="Objet du commentaire Car"/>
    <w:basedOn w:val="CommentaireCar"/>
    <w:link w:val="Objetducommentaire"/>
    <w:uiPriority w:val="99"/>
    <w:semiHidden/>
    <w:rsid w:val="004159F4"/>
    <w:rPr>
      <w:b/>
      <w:bCs/>
      <w:sz w:val="20"/>
      <w:szCs w:val="20"/>
    </w:rPr>
  </w:style>
  <w:style w:type="paragraph" w:styleId="Textedebulles">
    <w:name w:val="Balloon Text"/>
    <w:basedOn w:val="Normal"/>
    <w:link w:val="TextedebullesCar"/>
    <w:uiPriority w:val="99"/>
    <w:semiHidden/>
    <w:unhideWhenUsed/>
    <w:rsid w:val="004159F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159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944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adrontherapy-data.in2p3.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figshare.com/articles/Geant4_DNA_visualization_Evolution_of_1_keV_electron_track_in_liquid_water_in_space_and_time/978887"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D94DC-223F-4F1A-B1A1-4971377BD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1483</TotalTime>
  <Pages>6</Pages>
  <Words>3112</Words>
  <Characters>17119</Characters>
  <Application>Microsoft Office Word</Application>
  <DocSecurity>0</DocSecurity>
  <Lines>142</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Jean-Charles Blouzard</dc:creator>
  <cp:keywords/>
  <dc:description/>
  <cp:lastModifiedBy>Jean-Charles Blouzard</cp:lastModifiedBy>
  <cp:revision>8</cp:revision>
  <cp:lastPrinted>2015-03-10T15:44:00Z</cp:lastPrinted>
  <dcterms:created xsi:type="dcterms:W3CDTF">2015-03-05T11:10:00Z</dcterms:created>
  <dcterms:modified xsi:type="dcterms:W3CDTF">2015-03-11T11:06:00Z</dcterms:modified>
</cp:coreProperties>
</file>