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861" w:rsidRDefault="00A659EB" w:rsidP="000C0861">
      <w:pPr>
        <w:pStyle w:val="Titre1"/>
        <w:spacing w:line="240" w:lineRule="auto"/>
        <w:jc w:val="center"/>
      </w:pPr>
      <w:r>
        <w:t xml:space="preserve">Compte rendu de réunion : </w:t>
      </w:r>
      <w:r w:rsidR="000C0861">
        <w:t>France HADRON</w:t>
      </w:r>
    </w:p>
    <w:p w:rsidR="007F68DF" w:rsidRDefault="00A659EB" w:rsidP="000C0861">
      <w:pPr>
        <w:pStyle w:val="Titre1"/>
        <w:spacing w:line="240" w:lineRule="auto"/>
        <w:jc w:val="center"/>
      </w:pPr>
      <w:r>
        <w:t>WP1 recherche clinique</w:t>
      </w:r>
    </w:p>
    <w:p w:rsidR="00A659EB" w:rsidRDefault="00A659EB" w:rsidP="000C0861">
      <w:pPr>
        <w:pStyle w:val="Titre2"/>
        <w:spacing w:line="240" w:lineRule="auto"/>
        <w:jc w:val="center"/>
      </w:pPr>
      <w:r>
        <w:t>A Orsay, le 15 Avril 2015</w:t>
      </w:r>
    </w:p>
    <w:p w:rsidR="00A659EB" w:rsidRDefault="00A659EB" w:rsidP="000C0861">
      <w:pPr>
        <w:spacing w:line="240" w:lineRule="auto"/>
        <w:jc w:val="both"/>
      </w:pPr>
    </w:p>
    <w:p w:rsidR="00A659EB" w:rsidRDefault="00A659EB" w:rsidP="000C0861">
      <w:pPr>
        <w:pStyle w:val="Titre2"/>
        <w:spacing w:line="240" w:lineRule="auto"/>
        <w:jc w:val="both"/>
      </w:pPr>
      <w:r>
        <w:t>Présents :</w:t>
      </w:r>
    </w:p>
    <w:p w:rsidR="00A659EB" w:rsidRDefault="00A659EB" w:rsidP="000C0861">
      <w:pPr>
        <w:spacing w:line="240" w:lineRule="auto"/>
        <w:jc w:val="both"/>
      </w:pPr>
      <w:r>
        <w:t xml:space="preserve">V. </w:t>
      </w:r>
      <w:proofErr w:type="spellStart"/>
      <w:r>
        <w:t>Calugaru</w:t>
      </w:r>
      <w:proofErr w:type="spellEnd"/>
      <w:r>
        <w:t xml:space="preserve">, J. Thariat, R. </w:t>
      </w:r>
      <w:proofErr w:type="spellStart"/>
      <w:r>
        <w:t>Dendale</w:t>
      </w:r>
      <w:proofErr w:type="spellEnd"/>
      <w:r>
        <w:t xml:space="preserve">, J.L. </w:t>
      </w:r>
      <w:proofErr w:type="spellStart"/>
      <w:r>
        <w:t>Habrand</w:t>
      </w:r>
      <w:proofErr w:type="spellEnd"/>
      <w:r>
        <w:t>, J. Doyen, P.Y.</w:t>
      </w:r>
      <w:r w:rsidR="00CD14AC">
        <w:t xml:space="preserve"> </w:t>
      </w:r>
      <w:proofErr w:type="spellStart"/>
      <w:r w:rsidR="00CD14AC">
        <w:t>Bondiau</w:t>
      </w:r>
      <w:proofErr w:type="spellEnd"/>
      <w:r w:rsidR="00CD14AC">
        <w:t xml:space="preserve">, P. Truntzer, A. </w:t>
      </w:r>
      <w:proofErr w:type="spellStart"/>
      <w:r w:rsidR="00CD14AC">
        <w:t>Laprie</w:t>
      </w:r>
      <w:proofErr w:type="spellEnd"/>
      <w:r w:rsidR="00CD14AC">
        <w:t xml:space="preserve">, H </w:t>
      </w:r>
      <w:proofErr w:type="spellStart"/>
      <w:r w:rsidR="00CD14AC">
        <w:t>Ma</w:t>
      </w:r>
      <w:r>
        <w:t>m</w:t>
      </w:r>
      <w:r w:rsidR="00BD1C7E">
        <w:t>m</w:t>
      </w:r>
      <w:r>
        <w:t>ar</w:t>
      </w:r>
      <w:proofErr w:type="spellEnd"/>
      <w:r>
        <w:t xml:space="preserve">, J. Balosso, V. </w:t>
      </w:r>
      <w:proofErr w:type="spellStart"/>
      <w:r>
        <w:t>Marchesi</w:t>
      </w:r>
      <w:proofErr w:type="spellEnd"/>
      <w:r>
        <w:t xml:space="preserve">, S. </w:t>
      </w:r>
      <w:proofErr w:type="spellStart"/>
      <w:r>
        <w:t>Bo</w:t>
      </w:r>
      <w:r w:rsidR="00B83AD2">
        <w:t>l</w:t>
      </w:r>
      <w:r>
        <w:t>le</w:t>
      </w:r>
      <w:proofErr w:type="spellEnd"/>
      <w:r>
        <w:t xml:space="preserve">, S. </w:t>
      </w:r>
      <w:proofErr w:type="spellStart"/>
      <w:r>
        <w:t>Elfre</w:t>
      </w:r>
      <w:proofErr w:type="spellEnd"/>
      <w:r>
        <w:t xml:space="preserve">, G. </w:t>
      </w:r>
      <w:proofErr w:type="spellStart"/>
      <w:r>
        <w:t>Vaugin</w:t>
      </w:r>
      <w:proofErr w:type="spellEnd"/>
      <w:r>
        <w:t xml:space="preserve">, J. </w:t>
      </w:r>
      <w:proofErr w:type="spellStart"/>
      <w:r>
        <w:t>Datchary</w:t>
      </w:r>
      <w:proofErr w:type="spellEnd"/>
      <w:r>
        <w:t xml:space="preserve">, C. </w:t>
      </w:r>
      <w:proofErr w:type="spellStart"/>
      <w:r w:rsidRPr="00A659EB">
        <w:t>Niederst</w:t>
      </w:r>
      <w:proofErr w:type="spellEnd"/>
      <w:r w:rsidR="00BD1C7E">
        <w:t xml:space="preserve">, F. </w:t>
      </w:r>
      <w:proofErr w:type="spellStart"/>
      <w:r w:rsidR="00BD1C7E">
        <w:t>Gadgy</w:t>
      </w:r>
      <w:proofErr w:type="spellEnd"/>
      <w:r w:rsidR="00BD1C7E">
        <w:t>, J-C. Blouzard.</w:t>
      </w:r>
    </w:p>
    <w:p w:rsidR="00A659EB" w:rsidRDefault="00F04BAD" w:rsidP="000C0861">
      <w:pPr>
        <w:pStyle w:val="Titre2"/>
        <w:spacing w:line="240" w:lineRule="auto"/>
        <w:jc w:val="both"/>
      </w:pPr>
      <w:r>
        <w:t xml:space="preserve">1) </w:t>
      </w:r>
      <w:r w:rsidR="008568CE">
        <w:t>J. Thariat : Traitements oculaires</w:t>
      </w:r>
      <w:r>
        <w:t xml:space="preserve"> au CAL</w:t>
      </w:r>
    </w:p>
    <w:p w:rsidR="006972F8" w:rsidRDefault="00F04BAD" w:rsidP="000C0861">
      <w:pPr>
        <w:spacing w:line="240" w:lineRule="auto"/>
        <w:jc w:val="both"/>
      </w:pPr>
      <w:r>
        <w:t xml:space="preserve">La majorité des tumeurs traitées sont des mélanomes </w:t>
      </w:r>
      <w:r w:rsidR="008568CE">
        <w:t>de la choroïd</w:t>
      </w:r>
      <w:r>
        <w:t>e</w:t>
      </w:r>
      <w:r w:rsidR="008568CE">
        <w:t xml:space="preserve"> (environ </w:t>
      </w:r>
      <w:r w:rsidR="00F41CEE">
        <w:t>270 mélanome traités annuellement)</w:t>
      </w:r>
      <w:r>
        <w:t>. A noter qu’une</w:t>
      </w:r>
      <w:bookmarkStart w:id="0" w:name="_GoBack"/>
      <w:bookmarkEnd w:id="0"/>
      <w:r>
        <w:t xml:space="preserve"> étude a concerné le traitement de la DMLA par proton. L’origine des patients du CAL </w:t>
      </w:r>
      <w:r w:rsidR="005C27B7">
        <w:t>est européenne</w:t>
      </w:r>
      <w:r>
        <w:t xml:space="preserve"> avec une </w:t>
      </w:r>
      <w:r w:rsidR="00254301">
        <w:t xml:space="preserve">proportion importante </w:t>
      </w:r>
      <w:r>
        <w:t>de patients Italiens ou Allemands</w:t>
      </w:r>
      <w:r w:rsidR="005C27B7">
        <w:t xml:space="preserve"> même si la représentation française est prédominante</w:t>
      </w:r>
      <w:r>
        <w:t xml:space="preserve">. </w:t>
      </w:r>
    </w:p>
    <w:p w:rsidR="006972F8" w:rsidRDefault="006972F8" w:rsidP="000C0861">
      <w:pPr>
        <w:spacing w:line="240" w:lineRule="auto"/>
        <w:jc w:val="both"/>
      </w:pPr>
      <w:r>
        <w:t xml:space="preserve">Le protocole standard de Nice comporte 3 phases de </w:t>
      </w:r>
      <w:r w:rsidR="00254301">
        <w:t xml:space="preserve">préparation et </w:t>
      </w:r>
      <w:r>
        <w:t xml:space="preserve">simulation avant le traitement, une simulation informatique, une simulation en utilisant </w:t>
      </w:r>
      <w:r w:rsidR="00254301">
        <w:t>le masque du patient</w:t>
      </w:r>
      <w:r>
        <w:t xml:space="preserve"> et une troisième étape « à blanc » qui utilise les modulateurs et </w:t>
      </w:r>
      <w:r w:rsidR="00254301">
        <w:t>« </w:t>
      </w:r>
      <w:r>
        <w:t xml:space="preserve">range </w:t>
      </w:r>
      <w:proofErr w:type="spellStart"/>
      <w:r>
        <w:t>shifters</w:t>
      </w:r>
      <w:proofErr w:type="spellEnd"/>
      <w:r w:rsidR="00254301">
        <w:t> » usinés</w:t>
      </w:r>
      <w:r>
        <w:t xml:space="preserve"> pour le traitement.</w:t>
      </w:r>
    </w:p>
    <w:p w:rsidR="005C27B7" w:rsidRDefault="00254301" w:rsidP="000C0861">
      <w:pPr>
        <w:spacing w:line="240" w:lineRule="auto"/>
        <w:jc w:val="both"/>
      </w:pPr>
      <w:r>
        <w:t xml:space="preserve">J. </w:t>
      </w:r>
      <w:r w:rsidR="00F04BAD">
        <w:t xml:space="preserve">Thariat signale un changement dans la pathologie des patients </w:t>
      </w:r>
      <w:r w:rsidR="005C27B7">
        <w:t>atteints de</w:t>
      </w:r>
      <w:r>
        <w:t xml:space="preserve"> mélanomes de la choroïde</w:t>
      </w:r>
      <w:r w:rsidR="005C27B7">
        <w:t>. Modification allant</w:t>
      </w:r>
      <w:r w:rsidR="00F04BAD">
        <w:t xml:space="preserve"> </w:t>
      </w:r>
      <w:r w:rsidR="005C27B7">
        <w:t xml:space="preserve">vers </w:t>
      </w:r>
      <w:r>
        <w:t xml:space="preserve">des volumes tumoraux </w:t>
      </w:r>
      <w:r w:rsidR="00F04BAD">
        <w:t>de plus en plus importante</w:t>
      </w:r>
      <w:r w:rsidR="005C27B7">
        <w:t xml:space="preserve"> probablement </w:t>
      </w:r>
      <w:r>
        <w:t>due</w:t>
      </w:r>
      <w:r w:rsidR="006972F8">
        <w:t xml:space="preserve"> au</w:t>
      </w:r>
      <w:r w:rsidR="005C27B7">
        <w:t>x</w:t>
      </w:r>
      <w:r w:rsidR="006972F8">
        <w:t xml:space="preserve"> </w:t>
      </w:r>
      <w:r w:rsidR="005C27B7">
        <w:t>réticences</w:t>
      </w:r>
      <w:r w:rsidR="006972F8">
        <w:t xml:space="preserve"> de plus en plus fréquent</w:t>
      </w:r>
      <w:r w:rsidR="005C27B7">
        <w:t>es</w:t>
      </w:r>
      <w:r w:rsidR="006972F8">
        <w:t xml:space="preserve"> </w:t>
      </w:r>
      <w:r>
        <w:t>des patients et des ophtalmologistes de</w:t>
      </w:r>
      <w:r w:rsidR="006972F8">
        <w:t xml:space="preserve"> pratiquer des énucléations. Il est fait mention du groupe PTCOG dédié à l’ophtalmologie proton et notamment du TPS dédié : </w:t>
      </w:r>
      <w:proofErr w:type="spellStart"/>
      <w:r>
        <w:t>E</w:t>
      </w:r>
      <w:r w:rsidR="006972F8">
        <w:t>y</w:t>
      </w:r>
      <w:r>
        <w:t>eP</w:t>
      </w:r>
      <w:r w:rsidR="006972F8">
        <w:t>lan</w:t>
      </w:r>
      <w:proofErr w:type="spellEnd"/>
      <w:r w:rsidR="006972F8">
        <w:t xml:space="preserve">. Une </w:t>
      </w:r>
      <w:r>
        <w:t xml:space="preserve">question concerne </w:t>
      </w:r>
      <w:r w:rsidR="006972F8">
        <w:t>l’appr</w:t>
      </w:r>
      <w:r>
        <w:t xml:space="preserve">oche utilisée par Pierre </w:t>
      </w:r>
      <w:proofErr w:type="spellStart"/>
      <w:r>
        <w:t>Chauvel</w:t>
      </w:r>
      <w:proofErr w:type="spellEnd"/>
      <w:r w:rsidR="006972F8">
        <w:t xml:space="preserve"> qui utilisait des filtres et du gel afin de protéger l’œil. </w:t>
      </w:r>
      <w:r>
        <w:t>Cette technique est e</w:t>
      </w:r>
      <w:r w:rsidR="006972F8">
        <w:t xml:space="preserve">ncore </w:t>
      </w:r>
      <w:r>
        <w:t xml:space="preserve">utilisée </w:t>
      </w:r>
      <w:r w:rsidR="006972F8">
        <w:t xml:space="preserve">dans 5 à 10% des cas. </w:t>
      </w:r>
    </w:p>
    <w:p w:rsidR="00F04BAD" w:rsidRDefault="00F41CEE" w:rsidP="000C0861">
      <w:pPr>
        <w:spacing w:line="240" w:lineRule="auto"/>
        <w:jc w:val="both"/>
      </w:pPr>
      <w:r>
        <w:t xml:space="preserve">Afin de s’approcher le plus possible de l’anatomie de chaque </w:t>
      </w:r>
      <w:r w:rsidR="00497E78">
        <w:t>patient</w:t>
      </w:r>
      <w:r w:rsidR="005C27B7">
        <w:t>, le CAL</w:t>
      </w:r>
      <w:r>
        <w:t xml:space="preserve"> réalise des </w:t>
      </w:r>
      <w:r w:rsidR="00497E78">
        <w:t>scanners</w:t>
      </w:r>
      <w:r>
        <w:t xml:space="preserve"> </w:t>
      </w:r>
      <w:r w:rsidR="00497E78">
        <w:t>systématiquement</w:t>
      </w:r>
      <w:r w:rsidR="00B82BD0">
        <w:t xml:space="preserve"> car le TPS utilisé (</w:t>
      </w:r>
      <w:proofErr w:type="spellStart"/>
      <w:r w:rsidR="00B82BD0">
        <w:t>EyePlan</w:t>
      </w:r>
      <w:proofErr w:type="spellEnd"/>
      <w:r w:rsidR="00B82BD0">
        <w:t xml:space="preserve">) considère </w:t>
      </w:r>
      <w:r>
        <w:t>l’œil comme une sphère parfaite</w:t>
      </w:r>
      <w:r w:rsidR="00B82BD0">
        <w:t>, ce qui n’est pas le cas général</w:t>
      </w:r>
      <w:r>
        <w:t>.</w:t>
      </w:r>
    </w:p>
    <w:p w:rsidR="00F41CEE" w:rsidRDefault="00F41CEE" w:rsidP="000C0861">
      <w:pPr>
        <w:spacing w:line="240" w:lineRule="auto"/>
        <w:jc w:val="both"/>
      </w:pPr>
      <w:r>
        <w:t xml:space="preserve">Dans la discussion, J. Thariat et R. </w:t>
      </w:r>
      <w:proofErr w:type="spellStart"/>
      <w:r>
        <w:t>Dendale</w:t>
      </w:r>
      <w:proofErr w:type="spellEnd"/>
      <w:r>
        <w:t xml:space="preserve"> insistent sur leur travail visant à diminuer la toxicité secondaire </w:t>
      </w:r>
      <w:r w:rsidR="005C27B7">
        <w:t xml:space="preserve">des traitements </w:t>
      </w:r>
      <w:r>
        <w:t xml:space="preserve">qui peut engendrer glaucomes </w:t>
      </w:r>
      <w:r w:rsidR="00B82BD0">
        <w:t xml:space="preserve">vasculaire </w:t>
      </w:r>
      <w:r>
        <w:t xml:space="preserve">et </w:t>
      </w:r>
      <w:proofErr w:type="spellStart"/>
      <w:r>
        <w:t>maculopathies</w:t>
      </w:r>
      <w:proofErr w:type="spellEnd"/>
      <w:r>
        <w:t>.</w:t>
      </w:r>
    </w:p>
    <w:p w:rsidR="00F41CEE" w:rsidRDefault="00F41CEE" w:rsidP="000C0861">
      <w:pPr>
        <w:pStyle w:val="Titre2"/>
        <w:spacing w:line="240" w:lineRule="auto"/>
        <w:jc w:val="both"/>
      </w:pPr>
      <w:r>
        <w:t>2) R</w:t>
      </w:r>
      <w:r w:rsidR="00857195">
        <w:t xml:space="preserve">. </w:t>
      </w:r>
      <w:proofErr w:type="spellStart"/>
      <w:r w:rsidR="00857195">
        <w:t>Dendale</w:t>
      </w:r>
      <w:proofErr w:type="spellEnd"/>
      <w:r w:rsidR="00857195">
        <w:t> : Traitements oculaires à l’I</w:t>
      </w:r>
      <w:r>
        <w:t>CPO</w:t>
      </w:r>
    </w:p>
    <w:p w:rsidR="00F41CEE" w:rsidRDefault="009E044B" w:rsidP="000C0861">
      <w:pPr>
        <w:spacing w:line="240" w:lineRule="auto"/>
        <w:jc w:val="both"/>
      </w:pPr>
      <w:r>
        <w:t>A L’I</w:t>
      </w:r>
      <w:r w:rsidR="008107EF">
        <w:t xml:space="preserve">CPO, le mélanome de </w:t>
      </w:r>
      <w:r w:rsidR="00857195">
        <w:t xml:space="preserve">la </w:t>
      </w:r>
      <w:r w:rsidR="008107EF">
        <w:t xml:space="preserve">choroïde est aussi la pathologie la plus traitée avec 265 cas annuels sur les 349 traitements réalisés en 2014. Une rapide comparaison entre IMRT et protonthérapie </w:t>
      </w:r>
      <w:r>
        <w:t>est discutée</w:t>
      </w:r>
      <w:r w:rsidR="008107EF">
        <w:t xml:space="preserve">, </w:t>
      </w:r>
      <w:r>
        <w:t xml:space="preserve">un des </w:t>
      </w:r>
      <w:r w:rsidR="008107EF">
        <w:t>avantage</w:t>
      </w:r>
      <w:r>
        <w:t>s</w:t>
      </w:r>
      <w:r w:rsidR="008107EF">
        <w:t xml:space="preserve"> des protons étant qu’</w:t>
      </w:r>
      <w:r>
        <w:t xml:space="preserve">ils </w:t>
      </w:r>
      <w:r w:rsidR="008107EF">
        <w:t>ne nécessite</w:t>
      </w:r>
      <w:r>
        <w:t>nt</w:t>
      </w:r>
      <w:r w:rsidR="008107EF">
        <w:t xml:space="preserve"> pas de fixer l’œil.</w:t>
      </w:r>
    </w:p>
    <w:p w:rsidR="008107EF" w:rsidRDefault="008107EF" w:rsidP="000C0861">
      <w:pPr>
        <w:spacing w:line="240" w:lineRule="auto"/>
        <w:jc w:val="both"/>
      </w:pPr>
      <w:r>
        <w:t xml:space="preserve">Au sujet des métastases </w:t>
      </w:r>
      <w:r w:rsidR="00C41AC9">
        <w:t>oculaires</w:t>
      </w:r>
      <w:r w:rsidR="009E044B">
        <w:t>, qui sont rares</w:t>
      </w:r>
      <w:r>
        <w:t xml:space="preserve">, les traitements réalisés </w:t>
      </w:r>
      <w:r w:rsidR="009E044B">
        <w:t xml:space="preserve">à l’ICPO </w:t>
      </w:r>
      <w:r>
        <w:t>concernent des tumeurs laissant une espérance de vie longue (cancer du rein…). Ces traitements peuvent induire des effets secondaires à long terme mais offrent un très bon contrôle local</w:t>
      </w:r>
      <w:r w:rsidR="009E044B">
        <w:t>, il est recommandé de traiter l’œil controlatéral à titre prophylactique</w:t>
      </w:r>
      <w:r>
        <w:t>.</w:t>
      </w:r>
    </w:p>
    <w:p w:rsidR="00B153D7" w:rsidRDefault="00B153D7" w:rsidP="000C0861">
      <w:pPr>
        <w:pStyle w:val="Titre2"/>
        <w:spacing w:line="240" w:lineRule="auto"/>
        <w:jc w:val="both"/>
      </w:pPr>
      <w:r>
        <w:t xml:space="preserve">3) R. </w:t>
      </w:r>
      <w:proofErr w:type="spellStart"/>
      <w:r>
        <w:t>Dendale</w:t>
      </w:r>
      <w:proofErr w:type="spellEnd"/>
      <w:r>
        <w:t xml:space="preserve"> : Autres localisations </w:t>
      </w:r>
      <w:r w:rsidR="00AA7968">
        <w:t>à l’ICPO</w:t>
      </w:r>
    </w:p>
    <w:p w:rsidR="00497E78" w:rsidRDefault="00497E78" w:rsidP="000C0861">
      <w:pPr>
        <w:spacing w:line="240" w:lineRule="auto"/>
        <w:jc w:val="both"/>
      </w:pPr>
      <w:r>
        <w:t xml:space="preserve">A propos des autres localisations et </w:t>
      </w:r>
      <w:r w:rsidR="009E044B">
        <w:t>des tumeurs intracrâniennes, l’I</w:t>
      </w:r>
      <w:r>
        <w:t xml:space="preserve">CPO traite </w:t>
      </w:r>
      <w:r w:rsidR="009E044B">
        <w:t>principalement  des mé</w:t>
      </w:r>
      <w:r w:rsidR="00C41AC9">
        <w:t>ningiomes et des chordomes</w:t>
      </w:r>
      <w:r w:rsidR="005C27B7">
        <w:t xml:space="preserve"> (représentant 55% des traitements intracrâniens)</w:t>
      </w:r>
      <w:r w:rsidR="009E044B">
        <w:t xml:space="preserve"> ; </w:t>
      </w:r>
      <w:r w:rsidR="00B153D7">
        <w:t>le nombre de craniophary</w:t>
      </w:r>
      <w:r w:rsidR="00C41AC9">
        <w:t>ngiome</w:t>
      </w:r>
      <w:r w:rsidR="009E044B">
        <w:t>s</w:t>
      </w:r>
      <w:r w:rsidR="00B153D7">
        <w:t xml:space="preserve"> traité</w:t>
      </w:r>
      <w:r w:rsidR="009E044B">
        <w:t>s</w:t>
      </w:r>
      <w:r w:rsidR="00B153D7">
        <w:t xml:space="preserve"> a doublé entre 2012 et 2013 ainsi qu’ent</w:t>
      </w:r>
      <w:r w:rsidR="009E044B">
        <w:t xml:space="preserve">re 2013 et 2014 pour atteindre environ </w:t>
      </w:r>
      <w:r w:rsidR="00B153D7">
        <w:t>10% des traitements réalisés.</w:t>
      </w:r>
    </w:p>
    <w:p w:rsidR="008107EF" w:rsidRDefault="00B153D7" w:rsidP="000C0861">
      <w:pPr>
        <w:pStyle w:val="Titre2"/>
        <w:spacing w:line="240" w:lineRule="auto"/>
        <w:jc w:val="both"/>
      </w:pPr>
      <w:r>
        <w:lastRenderedPageBreak/>
        <w:t>4</w:t>
      </w:r>
      <w:r w:rsidR="008107EF">
        <w:t>) J. Balosso : le WP1 de France HADRON</w:t>
      </w:r>
    </w:p>
    <w:p w:rsidR="009E044B" w:rsidRDefault="008107EF" w:rsidP="000C0861">
      <w:pPr>
        <w:tabs>
          <w:tab w:val="left" w:pos="1102"/>
        </w:tabs>
        <w:spacing w:line="240" w:lineRule="auto"/>
        <w:jc w:val="both"/>
      </w:pPr>
      <w:r>
        <w:t xml:space="preserve">J Balosso </w:t>
      </w:r>
      <w:r w:rsidR="00570793">
        <w:t xml:space="preserve">rappelle les objectifs du WP1 et de ses sous-WP. L’essai randomisé PHRC-ETOILE-ULICE est aussi décrit, il permettra à terme le traitement à CNAO </w:t>
      </w:r>
      <w:r w:rsidR="009E044B">
        <w:t xml:space="preserve">125 </w:t>
      </w:r>
      <w:r w:rsidR="00570793">
        <w:t>de</w:t>
      </w:r>
      <w:r w:rsidR="009E044B">
        <w:t>s</w:t>
      </w:r>
      <w:r w:rsidR="00570793">
        <w:t xml:space="preserve"> 250 patients </w:t>
      </w:r>
      <w:r w:rsidR="009E044B">
        <w:t xml:space="preserve">qui seront inclus (étude randomisée) </w:t>
      </w:r>
      <w:r w:rsidR="00570793">
        <w:t xml:space="preserve">attends de </w:t>
      </w:r>
      <w:r w:rsidR="009E044B">
        <w:t xml:space="preserve">carcinomes adénoïdes kystique ORL, de chordomes du squelette axial (base du crâne exclue) et de </w:t>
      </w:r>
      <w:r w:rsidR="00570793">
        <w:t>sarcome</w:t>
      </w:r>
      <w:r w:rsidR="009E044B">
        <w:t>s (</w:t>
      </w:r>
      <w:r w:rsidR="00570793">
        <w:t>chondrosarcome</w:t>
      </w:r>
      <w:r w:rsidR="009E044B">
        <w:t>s de la base du crâne exclus).</w:t>
      </w:r>
    </w:p>
    <w:p w:rsidR="008107EF" w:rsidRDefault="009E044B" w:rsidP="000C0861">
      <w:pPr>
        <w:tabs>
          <w:tab w:val="left" w:pos="1102"/>
        </w:tabs>
        <w:spacing w:line="240" w:lineRule="auto"/>
        <w:jc w:val="both"/>
      </w:pPr>
      <w:r>
        <w:t>A. Laprie</w:t>
      </w:r>
      <w:r w:rsidR="00570793">
        <w:t xml:space="preserve"> signale </w:t>
      </w:r>
      <w:r w:rsidR="00497E78">
        <w:t>qu’UNICANCER</w:t>
      </w:r>
      <w:r w:rsidR="00570793">
        <w:t xml:space="preserve"> </w:t>
      </w:r>
      <w:r w:rsidR="00497E78">
        <w:t>a</w:t>
      </w:r>
      <w:r w:rsidR="00570793">
        <w:t xml:space="preserve"> validé 2 thématiques de </w:t>
      </w:r>
      <w:r w:rsidR="00497E78">
        <w:t>réflexion</w:t>
      </w:r>
      <w:r w:rsidR="00570793">
        <w:t> dont hypofractionnement et protons</w:t>
      </w:r>
      <w:r w:rsidR="00497E78">
        <w:t xml:space="preserve"> porté par un groupe nommé UNISTRO. Le correspondant et responsable du groupe est David Alain</w:t>
      </w:r>
      <w:r>
        <w:t xml:space="preserve"> (</w:t>
      </w:r>
      <w:r w:rsidRPr="006538E5">
        <w:t>à vérifier</w:t>
      </w:r>
      <w:r>
        <w:t>)</w:t>
      </w:r>
      <w:r w:rsidR="00497E78">
        <w:t>.</w:t>
      </w:r>
    </w:p>
    <w:p w:rsidR="00497E78" w:rsidRDefault="00497E78" w:rsidP="000C0861">
      <w:pPr>
        <w:pStyle w:val="Titre2"/>
        <w:spacing w:line="240" w:lineRule="auto"/>
        <w:jc w:val="both"/>
      </w:pPr>
      <w:r>
        <w:t xml:space="preserve">4) P.Y. </w:t>
      </w:r>
      <w:proofErr w:type="spellStart"/>
      <w:r>
        <w:t>Bondiau</w:t>
      </w:r>
      <w:proofErr w:type="spellEnd"/>
      <w:r w:rsidR="00866AF7">
        <w:t> : la n</w:t>
      </w:r>
      <w:r>
        <w:t>ouvelle installation au CAL</w:t>
      </w:r>
    </w:p>
    <w:p w:rsidR="00497E78" w:rsidRDefault="00EA1F9A" w:rsidP="000C0861">
      <w:pPr>
        <w:tabs>
          <w:tab w:val="left" w:pos="1102"/>
        </w:tabs>
        <w:spacing w:line="240" w:lineRule="auto"/>
        <w:jc w:val="both"/>
      </w:pPr>
      <w:r>
        <w:t>P.Y</w:t>
      </w:r>
      <w:r w:rsidR="00B153D7">
        <w:t xml:space="preserve">. </w:t>
      </w:r>
      <w:proofErr w:type="spellStart"/>
      <w:r w:rsidR="00B153D7">
        <w:t>Bon</w:t>
      </w:r>
      <w:r>
        <w:t>d</w:t>
      </w:r>
      <w:r w:rsidR="00B153D7">
        <w:t>iau</w:t>
      </w:r>
      <w:proofErr w:type="spellEnd"/>
      <w:r w:rsidR="00B153D7">
        <w:t xml:space="preserve"> présente l’architecture du </w:t>
      </w:r>
      <w:r w:rsidR="00866AF7">
        <w:t xml:space="preserve">centre de protonthérapie du </w:t>
      </w:r>
      <w:r w:rsidR="00B153D7">
        <w:t xml:space="preserve">CAL et </w:t>
      </w:r>
      <w:r w:rsidR="00042CE7">
        <w:t xml:space="preserve">l’agencement des nouvelles lignes autour du S2C2. </w:t>
      </w:r>
      <w:r>
        <w:t>La présentation est conclue par une comparaison entre le modèle de prescription américain (très nombreuses localisations</w:t>
      </w:r>
      <w:r w:rsidR="000C0861">
        <w:t xml:space="preserve"> possibles</w:t>
      </w:r>
      <w:r>
        <w:t xml:space="preserve">) au modèle français qui </w:t>
      </w:r>
      <w:r w:rsidR="00866AF7">
        <w:t>repose historiquement sur un très petit nombre d’indications critiques concernant essentiellement tête et cou et pédiatrie</w:t>
      </w:r>
      <w:r>
        <w:t>. Pour qu’un centre de protonthérapie arrive à l’équilibre budgétaire et en comptant l’ouverture de nouveaux centres en Fran</w:t>
      </w:r>
      <w:r w:rsidR="00866AF7">
        <w:t>ce, il faudra à un moment aller</w:t>
      </w:r>
      <w:r>
        <w:t xml:space="preserve"> du modèle français au modèle américain, en ouvrant ainsi le nombre d’indications possibles.</w:t>
      </w:r>
    </w:p>
    <w:p w:rsidR="008E787B" w:rsidRDefault="008E787B" w:rsidP="000C0861">
      <w:pPr>
        <w:tabs>
          <w:tab w:val="left" w:pos="1102"/>
        </w:tabs>
        <w:spacing w:line="240" w:lineRule="auto"/>
        <w:jc w:val="both"/>
      </w:pPr>
      <w:r>
        <w:t xml:space="preserve">3 projets sont en maturation au CAL : </w:t>
      </w:r>
    </w:p>
    <w:p w:rsidR="008E787B" w:rsidRDefault="008E787B" w:rsidP="000C0861">
      <w:pPr>
        <w:pStyle w:val="Paragraphedeliste"/>
        <w:numPr>
          <w:ilvl w:val="0"/>
          <w:numId w:val="1"/>
        </w:numPr>
        <w:tabs>
          <w:tab w:val="left" w:pos="1102"/>
        </w:tabs>
        <w:spacing w:line="240" w:lineRule="auto"/>
        <w:jc w:val="both"/>
      </w:pPr>
      <w:r>
        <w:t>Méningiomes et hypofractionnement : proton ou stéréotaxie,</w:t>
      </w:r>
    </w:p>
    <w:p w:rsidR="008E787B" w:rsidRDefault="008E787B" w:rsidP="000C0861">
      <w:pPr>
        <w:pStyle w:val="Paragraphedeliste"/>
        <w:numPr>
          <w:ilvl w:val="0"/>
          <w:numId w:val="1"/>
        </w:numPr>
        <w:tabs>
          <w:tab w:val="left" w:pos="1102"/>
        </w:tabs>
        <w:spacing w:line="240" w:lineRule="auto"/>
        <w:jc w:val="both"/>
      </w:pPr>
      <w:proofErr w:type="spellStart"/>
      <w:r>
        <w:t>Mésoproton</w:t>
      </w:r>
      <w:proofErr w:type="spellEnd"/>
      <w:r>
        <w:t> : traitement de grand</w:t>
      </w:r>
      <w:r w:rsidR="00AA7968">
        <w:t>s</w:t>
      </w:r>
      <w:r>
        <w:t xml:space="preserve"> volume</w:t>
      </w:r>
      <w:r w:rsidR="00AA7968">
        <w:t>s</w:t>
      </w:r>
      <w:r>
        <w:t xml:space="preserve"> de </w:t>
      </w:r>
      <w:proofErr w:type="spellStart"/>
      <w:r>
        <w:t>més</w:t>
      </w:r>
      <w:r w:rsidR="00AA7968">
        <w:t>othéliomes</w:t>
      </w:r>
      <w:proofErr w:type="spellEnd"/>
      <w:r w:rsidR="00AA7968">
        <w:t xml:space="preserve"> malins</w:t>
      </w:r>
      <w:r>
        <w:t xml:space="preserve"> par proton,</w:t>
      </w:r>
    </w:p>
    <w:p w:rsidR="008E787B" w:rsidRDefault="008E787B" w:rsidP="000C0861">
      <w:pPr>
        <w:pStyle w:val="Paragraphedeliste"/>
        <w:numPr>
          <w:ilvl w:val="0"/>
          <w:numId w:val="1"/>
        </w:numPr>
        <w:tabs>
          <w:tab w:val="left" w:pos="1102"/>
        </w:tabs>
        <w:spacing w:line="240" w:lineRule="auto"/>
        <w:jc w:val="both"/>
      </w:pPr>
      <w:proofErr w:type="spellStart"/>
      <w:r>
        <w:t>Proton</w:t>
      </w:r>
      <w:r w:rsidR="00AA7968">
        <w:t>Share</w:t>
      </w:r>
      <w:proofErr w:type="spellEnd"/>
      <w:r w:rsidR="00AA7968">
        <w:t> : Création d’une base de d</w:t>
      </w:r>
      <w:r>
        <w:t>onnée avec pour but de collecter 3000 dossiers patients en 10 ans, 1 serveur informatique est disponible au CAL pour ce projet.</w:t>
      </w:r>
    </w:p>
    <w:p w:rsidR="008E787B" w:rsidRDefault="00AA7968" w:rsidP="000C0861">
      <w:pPr>
        <w:tabs>
          <w:tab w:val="left" w:pos="1102"/>
        </w:tabs>
        <w:spacing w:line="240" w:lineRule="auto"/>
        <w:jc w:val="both"/>
      </w:pPr>
      <w:r>
        <w:t>La discussion qui suit a porté sur</w:t>
      </w:r>
      <w:r w:rsidR="008E787B">
        <w:t xml:space="preserve"> l’HAS afin d’aider le dévelop</w:t>
      </w:r>
      <w:r>
        <w:t xml:space="preserve">pement de nouvelles indications, et </w:t>
      </w:r>
      <w:r w:rsidR="008E787B">
        <w:t>d’essais clinique</w:t>
      </w:r>
      <w:r>
        <w:t>s</w:t>
      </w:r>
      <w:r w:rsidR="008E787B">
        <w:t xml:space="preserve"> sur de nouvelles indications.</w:t>
      </w:r>
    </w:p>
    <w:p w:rsidR="008E787B" w:rsidRDefault="008E787B" w:rsidP="000C0861">
      <w:pPr>
        <w:pStyle w:val="Titre2"/>
        <w:spacing w:line="240" w:lineRule="auto"/>
        <w:jc w:val="both"/>
      </w:pPr>
      <w:r>
        <w:t>5) J. Doyen </w:t>
      </w:r>
      <w:r w:rsidR="00AA7968">
        <w:t xml:space="preserve">(CAL) </w:t>
      </w:r>
      <w:r w:rsidR="00BD1576">
        <w:t>: Projets cliniques pour</w:t>
      </w:r>
      <w:r>
        <w:t xml:space="preserve"> les tumeurs profondes</w:t>
      </w:r>
      <w:r w:rsidR="00AA7968">
        <w:t xml:space="preserve"> en protonthérapie</w:t>
      </w:r>
    </w:p>
    <w:p w:rsidR="008E787B" w:rsidRDefault="008E787B" w:rsidP="000C0861">
      <w:pPr>
        <w:tabs>
          <w:tab w:val="left" w:pos="1102"/>
        </w:tabs>
        <w:spacing w:line="240" w:lineRule="auto"/>
        <w:jc w:val="both"/>
      </w:pPr>
    </w:p>
    <w:p w:rsidR="008E787B" w:rsidRDefault="008E787B" w:rsidP="000C0861">
      <w:pPr>
        <w:pStyle w:val="Titre2"/>
        <w:spacing w:line="240" w:lineRule="auto"/>
        <w:jc w:val="both"/>
      </w:pPr>
      <w:r>
        <w:t xml:space="preserve">6) V. </w:t>
      </w:r>
      <w:proofErr w:type="spellStart"/>
      <w:r>
        <w:t>Calugaru</w:t>
      </w:r>
      <w:proofErr w:type="spellEnd"/>
      <w:r>
        <w:t> </w:t>
      </w:r>
      <w:r w:rsidR="00827D94">
        <w:t>(ICPO)</w:t>
      </w:r>
      <w:r>
        <w:t>:</w:t>
      </w:r>
    </w:p>
    <w:p w:rsidR="008E787B" w:rsidRDefault="008E787B" w:rsidP="000C0861">
      <w:pPr>
        <w:tabs>
          <w:tab w:val="left" w:pos="1102"/>
        </w:tabs>
        <w:spacing w:line="240" w:lineRule="auto"/>
        <w:jc w:val="both"/>
      </w:pPr>
      <w:r>
        <w:t>Au sujet</w:t>
      </w:r>
      <w:r w:rsidR="00827D94">
        <w:t xml:space="preserve"> des chondrosarcomes, au </w:t>
      </w:r>
      <w:r>
        <w:t>début des trai</w:t>
      </w:r>
      <w:r w:rsidR="00827D94">
        <w:t>tements, le CPO proposait un traitement combiné</w:t>
      </w:r>
      <w:r>
        <w:t xml:space="preserve"> en proton et RT conventionnelle, depuis 2006 ces pathologies sont traitées </w:t>
      </w:r>
      <w:r w:rsidR="00827D94">
        <w:t xml:space="preserve">à l’ICPO exclusivement en </w:t>
      </w:r>
      <w:r>
        <w:t>protons.</w:t>
      </w:r>
    </w:p>
    <w:p w:rsidR="008E787B" w:rsidRDefault="008E787B" w:rsidP="000C0861">
      <w:pPr>
        <w:tabs>
          <w:tab w:val="left" w:pos="1102"/>
        </w:tabs>
        <w:spacing w:line="240" w:lineRule="auto"/>
        <w:jc w:val="both"/>
      </w:pPr>
      <w:r>
        <w:t xml:space="preserve">Un protocole adaptatif </w:t>
      </w:r>
      <w:r w:rsidR="0069280E">
        <w:t>a été</w:t>
      </w:r>
      <w:r>
        <w:t xml:space="preserve"> mis en place pour les chordomes de la tête et du cou</w:t>
      </w:r>
      <w:r w:rsidR="000C0861">
        <w:t>, les résultats mont</w:t>
      </w:r>
      <w:r w:rsidR="0069280E">
        <w:t xml:space="preserve">rent qu’il n’y a pas de différences significatives entre </w:t>
      </w:r>
      <w:r w:rsidR="000C0861">
        <w:t xml:space="preserve">les </w:t>
      </w:r>
      <w:r w:rsidR="0069280E">
        <w:t>échelle</w:t>
      </w:r>
      <w:r w:rsidR="000C0861">
        <w:t xml:space="preserve">s de dose ; la valeur déterminante étant plutôt </w:t>
      </w:r>
      <w:r w:rsidR="0069280E">
        <w:t>la dose totale. Dans cette pathologie, l’acte de chir</w:t>
      </w:r>
      <w:r w:rsidR="00827D94">
        <w:t>urgie pré-radiothérapie offre un meilleur pronostic (optimal</w:t>
      </w:r>
      <w:r w:rsidR="0069280E">
        <w:t xml:space="preserve"> dans le cas de </w:t>
      </w:r>
      <w:proofErr w:type="spellStart"/>
      <w:r w:rsidR="0069280E">
        <w:t>debulking</w:t>
      </w:r>
      <w:proofErr w:type="spellEnd"/>
      <w:r w:rsidR="0069280E">
        <w:t xml:space="preserve"> sans séquelle).</w:t>
      </w:r>
    </w:p>
    <w:p w:rsidR="0069280E" w:rsidRDefault="0069280E" w:rsidP="000C0861">
      <w:pPr>
        <w:pStyle w:val="Titre2"/>
        <w:spacing w:line="240" w:lineRule="auto"/>
        <w:jc w:val="both"/>
      </w:pPr>
      <w:r>
        <w:t xml:space="preserve">7) H. </w:t>
      </w:r>
      <w:proofErr w:type="spellStart"/>
      <w:r>
        <w:t>Mam</w:t>
      </w:r>
      <w:r w:rsidR="00BD1C7E">
        <w:t>m</w:t>
      </w:r>
      <w:r>
        <w:t>ar</w:t>
      </w:r>
      <w:proofErr w:type="spellEnd"/>
      <w:r>
        <w:t> </w:t>
      </w:r>
      <w:r w:rsidR="00827D94">
        <w:t>(ICPO)</w:t>
      </w:r>
      <w:r>
        <w:t>:</w:t>
      </w:r>
    </w:p>
    <w:p w:rsidR="0069280E" w:rsidRDefault="00BD1576" w:rsidP="000C0861">
      <w:pPr>
        <w:tabs>
          <w:tab w:val="left" w:pos="1102"/>
        </w:tabs>
        <w:spacing w:line="240" w:lineRule="auto"/>
        <w:jc w:val="both"/>
      </w:pPr>
      <w:r>
        <w:t xml:space="preserve">H. </w:t>
      </w:r>
      <w:proofErr w:type="spellStart"/>
      <w:r>
        <w:t>Ma</w:t>
      </w:r>
      <w:r w:rsidR="0069280E">
        <w:t>m</w:t>
      </w:r>
      <w:r w:rsidR="00BD1C7E">
        <w:t>m</w:t>
      </w:r>
      <w:r w:rsidR="0069280E">
        <w:t>ar</w:t>
      </w:r>
      <w:proofErr w:type="spellEnd"/>
      <w:r w:rsidR="0069280E">
        <w:t xml:space="preserve"> coordonne un PHRC commencé en 2013 qui vise à mieux cibler les cellules hypoxiques radiorésistantes grâce au 18F-FAZA. L’étud</w:t>
      </w:r>
      <w:r w:rsidR="00827D94">
        <w:t xml:space="preserve">e vise notamment les cellules </w:t>
      </w:r>
      <w:r>
        <w:t xml:space="preserve">hypoxiques et fortement radiorésistantes </w:t>
      </w:r>
      <w:r w:rsidR="00827D94">
        <w:t>des</w:t>
      </w:r>
      <w:r w:rsidR="0069280E">
        <w:t xml:space="preserve"> chordome</w:t>
      </w:r>
      <w:r w:rsidR="00827D94">
        <w:t>s</w:t>
      </w:r>
      <w:r w:rsidR="0069280E">
        <w:t>. Cependant un incident sur la ligne de production (</w:t>
      </w:r>
      <w:r w:rsidR="00827D94">
        <w:t xml:space="preserve">Cie </w:t>
      </w:r>
      <w:r w:rsidR="0069280E">
        <w:t xml:space="preserve">AAA) de cette molécule a entrainé un retard </w:t>
      </w:r>
      <w:r w:rsidR="00EE42C2">
        <w:t xml:space="preserve">de quasi </w:t>
      </w:r>
      <w:r w:rsidR="0069280E">
        <w:t>une année. Le protocole de recherche devrait pouvoir recommencer dans quelq</w:t>
      </w:r>
      <w:r w:rsidR="00827D94">
        <w:t>ues semaines sitôt la production relancée</w:t>
      </w:r>
      <w:r w:rsidR="0069280E">
        <w:t>.</w:t>
      </w:r>
    </w:p>
    <w:p w:rsidR="00EE42C2" w:rsidRDefault="00EE42C2" w:rsidP="000C0861">
      <w:pPr>
        <w:pStyle w:val="Titre2"/>
        <w:spacing w:line="240" w:lineRule="auto"/>
        <w:jc w:val="both"/>
      </w:pPr>
      <w:r>
        <w:t>8) R</w:t>
      </w:r>
      <w:r w:rsidR="00827D94">
        <w:t xml:space="preserve">. </w:t>
      </w:r>
      <w:proofErr w:type="spellStart"/>
      <w:r w:rsidR="00827D94">
        <w:t>Dendale</w:t>
      </w:r>
      <w:proofErr w:type="spellEnd"/>
      <w:r w:rsidR="00827D94">
        <w:t> : poursuite de la modernisation de l’I</w:t>
      </w:r>
      <w:r>
        <w:t>CPO</w:t>
      </w:r>
    </w:p>
    <w:p w:rsidR="00EE42C2" w:rsidRDefault="00EE42C2" w:rsidP="000C0861">
      <w:pPr>
        <w:tabs>
          <w:tab w:val="left" w:pos="1102"/>
        </w:tabs>
        <w:spacing w:line="240" w:lineRule="auto"/>
        <w:jc w:val="both"/>
      </w:pPr>
      <w:r>
        <w:t>Le CPO connait et va connaitre une étape de modernisation, celle-ci passe par différentes améliorations :</w:t>
      </w:r>
    </w:p>
    <w:p w:rsidR="00EE42C2" w:rsidRDefault="00EE42C2" w:rsidP="000C0861">
      <w:pPr>
        <w:pStyle w:val="Paragraphedeliste"/>
        <w:numPr>
          <w:ilvl w:val="0"/>
          <w:numId w:val="2"/>
        </w:numPr>
        <w:tabs>
          <w:tab w:val="left" w:pos="1102"/>
        </w:tabs>
        <w:spacing w:line="240" w:lineRule="auto"/>
        <w:jc w:val="both"/>
      </w:pPr>
      <w:r>
        <w:t xml:space="preserve">Développement du </w:t>
      </w:r>
      <w:r w:rsidR="00827D94">
        <w:t xml:space="preserve">traitement avec contrôle actif du faisceau balayé </w:t>
      </w:r>
      <w:r>
        <w:t>PBS</w:t>
      </w:r>
    </w:p>
    <w:p w:rsidR="00EE42C2" w:rsidRDefault="00EE42C2" w:rsidP="000C0861">
      <w:pPr>
        <w:pStyle w:val="Paragraphedeliste"/>
        <w:numPr>
          <w:ilvl w:val="0"/>
          <w:numId w:val="2"/>
        </w:numPr>
        <w:tabs>
          <w:tab w:val="left" w:pos="1102"/>
        </w:tabs>
        <w:spacing w:line="240" w:lineRule="auto"/>
        <w:jc w:val="both"/>
      </w:pPr>
      <w:r>
        <w:t>Changement de la table robotisée</w:t>
      </w:r>
    </w:p>
    <w:p w:rsidR="00EE42C2" w:rsidRDefault="00EE42C2" w:rsidP="000C0861">
      <w:pPr>
        <w:pStyle w:val="Paragraphedeliste"/>
        <w:numPr>
          <w:ilvl w:val="0"/>
          <w:numId w:val="2"/>
        </w:numPr>
        <w:tabs>
          <w:tab w:val="left" w:pos="1102"/>
        </w:tabs>
        <w:spacing w:line="240" w:lineRule="auto"/>
        <w:jc w:val="both"/>
      </w:pPr>
      <w:r>
        <w:lastRenderedPageBreak/>
        <w:t>Concernant les modes de délivrance passive : résolution d’un problème concernant la manipulation des collimateurs par le personnel car souvent très lourds</w:t>
      </w:r>
    </w:p>
    <w:p w:rsidR="00EE42C2" w:rsidRDefault="00EE42C2" w:rsidP="000C0861">
      <w:pPr>
        <w:pStyle w:val="Paragraphedeliste"/>
        <w:numPr>
          <w:ilvl w:val="0"/>
          <w:numId w:val="2"/>
        </w:numPr>
        <w:tabs>
          <w:tab w:val="left" w:pos="1102"/>
        </w:tabs>
        <w:spacing w:line="240" w:lineRule="auto"/>
        <w:jc w:val="both"/>
      </w:pPr>
      <w:r>
        <w:t>Développement de la ligne expérimentale.</w:t>
      </w:r>
    </w:p>
    <w:p w:rsidR="00EE42C2" w:rsidRDefault="00827D94" w:rsidP="000C0861">
      <w:pPr>
        <w:pStyle w:val="Titre2"/>
        <w:spacing w:line="240" w:lineRule="auto"/>
        <w:jc w:val="both"/>
      </w:pPr>
      <w:r>
        <w:t>9) A. Laprie (IUC Toulouse) : Imagerie pour</w:t>
      </w:r>
      <w:r w:rsidR="00EE42C2">
        <w:t xml:space="preserve"> la protonthérapie</w:t>
      </w:r>
    </w:p>
    <w:p w:rsidR="00EE42C2" w:rsidRDefault="00F54818" w:rsidP="000C0861">
      <w:pPr>
        <w:tabs>
          <w:tab w:val="left" w:pos="1102"/>
        </w:tabs>
        <w:spacing w:line="240" w:lineRule="auto"/>
        <w:jc w:val="both"/>
      </w:pPr>
      <w:r>
        <w:t xml:space="preserve">L’équipe de Toulouse s’intéresse à l’imagerie métabolique et fonctionnelle afin d’améliorer la définition des zones hypoxiques. Cette </w:t>
      </w:r>
      <w:r w:rsidR="005D2830">
        <w:t>délimitation</w:t>
      </w:r>
      <w:r>
        <w:t xml:space="preserve"> permet de délimiter un </w:t>
      </w:r>
      <w:r w:rsidR="00BD1576">
        <w:t>« </w:t>
      </w:r>
      <w:proofErr w:type="spellStart"/>
      <w:r>
        <w:t>biological</w:t>
      </w:r>
      <w:proofErr w:type="spellEnd"/>
      <w:r>
        <w:t xml:space="preserve"> </w:t>
      </w:r>
      <w:proofErr w:type="spellStart"/>
      <w:r>
        <w:t>target</w:t>
      </w:r>
      <w:proofErr w:type="spellEnd"/>
      <w:r>
        <w:t xml:space="preserve"> volume</w:t>
      </w:r>
      <w:r w:rsidR="00BD1576">
        <w:t> »</w:t>
      </w:r>
      <w:r>
        <w:t xml:space="preserve"> essentiel aux protocoles de dose painting. </w:t>
      </w:r>
      <w:r w:rsidR="00BD1576">
        <w:t>C’est dans ce cadre qu’A. Laprie</w:t>
      </w:r>
      <w:r>
        <w:t xml:space="preserve"> coordo</w:t>
      </w:r>
      <w:r w:rsidR="005D2830">
        <w:t xml:space="preserve">nne le PHRC </w:t>
      </w:r>
      <w:proofErr w:type="spellStart"/>
      <w:r w:rsidR="005D2830">
        <w:t>Spectroglio</w:t>
      </w:r>
      <w:proofErr w:type="spellEnd"/>
      <w:r w:rsidR="005D2830">
        <w:t>.</w:t>
      </w:r>
      <w:r>
        <w:t xml:space="preserve"> Ce protocole ét</w:t>
      </w:r>
      <w:r w:rsidR="00BD1576">
        <w:t xml:space="preserve">udie l’effet d’un traitement </w:t>
      </w:r>
      <w:proofErr w:type="spellStart"/>
      <w:r w:rsidR="00BD1576">
        <w:t>Temozolomide</w:t>
      </w:r>
      <w:proofErr w:type="spellEnd"/>
      <w:r w:rsidR="00BD1576">
        <w:t xml:space="preserve"> + RT 60 Gy versus </w:t>
      </w:r>
      <w:proofErr w:type="spellStart"/>
      <w:r w:rsidR="00BD1576">
        <w:t>Te</w:t>
      </w:r>
      <w:r>
        <w:t>mozolomide</w:t>
      </w:r>
      <w:proofErr w:type="spellEnd"/>
      <w:r>
        <w:t xml:space="preserve"> + RT 60 Gy + </w:t>
      </w:r>
      <w:proofErr w:type="spellStart"/>
      <w:r>
        <w:t>boost</w:t>
      </w:r>
      <w:proofErr w:type="spellEnd"/>
      <w:r>
        <w:t xml:space="preserve"> guidé par imagerie métabolique (SRM)</w:t>
      </w:r>
      <w:r w:rsidR="00BD1576">
        <w:t xml:space="preserve"> dans</w:t>
      </w:r>
      <w:r w:rsidR="005D2830">
        <w:t xml:space="preserve"> les glioblastomes</w:t>
      </w:r>
      <w:r>
        <w:t>.</w:t>
      </w:r>
      <w:r w:rsidR="00BD1576">
        <w:t xml:space="preserve"> A. Laprie</w:t>
      </w:r>
      <w:r w:rsidR="005D2830">
        <w:t xml:space="preserve"> énonce son besoin d’un soutien </w:t>
      </w:r>
      <w:r w:rsidR="00BD1576">
        <w:t xml:space="preserve">pour les travaux </w:t>
      </w:r>
      <w:r w:rsidR="005D2830">
        <w:rPr>
          <w:i/>
        </w:rPr>
        <w:t>in-silico</w:t>
      </w:r>
      <w:r w:rsidR="005D2830">
        <w:t xml:space="preserve"> afin de finir une étude</w:t>
      </w:r>
      <w:r w:rsidR="000C0861">
        <w:t xml:space="preserve"> nécessitant des simulations</w:t>
      </w:r>
      <w:r w:rsidR="005D2830">
        <w:t>.</w:t>
      </w:r>
    </w:p>
    <w:p w:rsidR="005D2830" w:rsidRDefault="005D2830" w:rsidP="000C0861">
      <w:pPr>
        <w:pStyle w:val="Titre2"/>
        <w:spacing w:line="240" w:lineRule="auto"/>
        <w:jc w:val="both"/>
      </w:pPr>
      <w:r>
        <w:t xml:space="preserve">10) R. </w:t>
      </w:r>
      <w:proofErr w:type="spellStart"/>
      <w:r>
        <w:t>Dendale</w:t>
      </w:r>
      <w:proofErr w:type="spellEnd"/>
      <w:r>
        <w:t xml:space="preserve"> – Recommandations issus du PTCOG</w:t>
      </w:r>
    </w:p>
    <w:p w:rsidR="005D2830" w:rsidRDefault="005D2830" w:rsidP="000C0861">
      <w:pPr>
        <w:tabs>
          <w:tab w:val="left" w:pos="1102"/>
        </w:tabs>
        <w:spacing w:line="240" w:lineRule="auto"/>
        <w:jc w:val="both"/>
      </w:pPr>
      <w:r>
        <w:t>Le PTCOG a listé les indications concernant l’utilisation de la protonthérapie. L’assistance remarque le nombre très important d’indications listés et la faible proportion de contres indications.</w:t>
      </w:r>
    </w:p>
    <w:p w:rsidR="00450180" w:rsidRDefault="00450180" w:rsidP="000C0861">
      <w:pPr>
        <w:pStyle w:val="Titre2"/>
        <w:spacing w:line="240" w:lineRule="auto"/>
        <w:jc w:val="both"/>
      </w:pPr>
      <w:r>
        <w:t>11) J. Balosso : Carbonethérapie aux USA</w:t>
      </w:r>
    </w:p>
    <w:p w:rsidR="00450180" w:rsidRDefault="00450180" w:rsidP="000C0861">
      <w:pPr>
        <w:tabs>
          <w:tab w:val="left" w:pos="1102"/>
        </w:tabs>
        <w:spacing w:line="240" w:lineRule="auto"/>
        <w:jc w:val="both"/>
      </w:pPr>
      <w:r>
        <w:t xml:space="preserve">Deux centres de carbonethérapie sont officiellement en projet, l’un à Dallas, le second à San </w:t>
      </w:r>
      <w:r w:rsidR="00BD1576">
        <w:t>Francisco, ils doivent s’appuyer sur des consortiums de recherche financés par ailleurs par le NCI.</w:t>
      </w:r>
    </w:p>
    <w:p w:rsidR="00450180" w:rsidRDefault="00450180" w:rsidP="000C0861">
      <w:pPr>
        <w:pStyle w:val="Titre2"/>
        <w:spacing w:line="240" w:lineRule="auto"/>
        <w:jc w:val="both"/>
      </w:pPr>
      <w:r>
        <w:t xml:space="preserve">12) J.L. </w:t>
      </w:r>
      <w:proofErr w:type="spellStart"/>
      <w:r>
        <w:t>Habrand</w:t>
      </w:r>
      <w:proofErr w:type="spellEnd"/>
      <w:r>
        <w:t> : conclusion de la Journée</w:t>
      </w:r>
    </w:p>
    <w:p w:rsidR="000C0861" w:rsidRDefault="00450180" w:rsidP="000C0861">
      <w:pPr>
        <w:tabs>
          <w:tab w:val="left" w:pos="3143"/>
        </w:tabs>
        <w:spacing w:line="240" w:lineRule="auto"/>
        <w:jc w:val="both"/>
      </w:pPr>
      <w:r>
        <w:t>Les participants et organisateurs de la journée sont rem</w:t>
      </w:r>
      <w:r w:rsidR="00BD1576">
        <w:t>erciés de leur présence et aide</w:t>
      </w:r>
      <w:r>
        <w:t xml:space="preserve">. Cette première réunion a permis de réunir autour d’une table </w:t>
      </w:r>
      <w:r w:rsidR="00BD1576">
        <w:t xml:space="preserve">presque </w:t>
      </w:r>
      <w:r>
        <w:t>tous les protagonistes de la recherche clinique de France HADRON dont certains ne se connaissaient pas.</w:t>
      </w:r>
    </w:p>
    <w:p w:rsidR="000C0861" w:rsidRDefault="00BD1576" w:rsidP="000C0861">
      <w:pPr>
        <w:tabs>
          <w:tab w:val="left" w:pos="3143"/>
        </w:tabs>
        <w:spacing w:line="240" w:lineRule="auto"/>
        <w:jc w:val="both"/>
      </w:pPr>
      <w:r>
        <w:t>Il ressort de la journée qu’</w:t>
      </w:r>
      <w:r w:rsidR="00450180">
        <w:t xml:space="preserve">un travail de groupe est à mener notamment en ce qui concerne les projets de stockage et utilisation de données cliniques pour la simulation. Différents projets émergent et une coordination pourrait permettre de les unifier </w:t>
      </w:r>
      <w:r>
        <w:t xml:space="preserve">et </w:t>
      </w:r>
      <w:r w:rsidR="00450180">
        <w:t xml:space="preserve">d’en augmenter l’envergure. </w:t>
      </w:r>
    </w:p>
    <w:p w:rsidR="00450180" w:rsidRDefault="00450180" w:rsidP="000C0861">
      <w:pPr>
        <w:tabs>
          <w:tab w:val="left" w:pos="3143"/>
        </w:tabs>
        <w:spacing w:line="240" w:lineRule="auto"/>
        <w:jc w:val="both"/>
      </w:pPr>
      <w:r>
        <w:t>La nécessité d’</w:t>
      </w:r>
      <w:r w:rsidR="00BD1576">
        <w:t xml:space="preserve">élargir les </w:t>
      </w:r>
      <w:r>
        <w:t>indication</w:t>
      </w:r>
      <w:r w:rsidR="00BD1576">
        <w:t xml:space="preserve">s de la protonthérapie est </w:t>
      </w:r>
      <w:r>
        <w:t xml:space="preserve">claire, </w:t>
      </w:r>
      <w:r w:rsidR="00E03A25">
        <w:t>surtout en considérant l’ouverture imminente de nouveaux centres.</w:t>
      </w:r>
    </w:p>
    <w:p w:rsidR="00BD1576" w:rsidRDefault="00BD1576" w:rsidP="000C0861">
      <w:pPr>
        <w:tabs>
          <w:tab w:val="left" w:pos="3143"/>
        </w:tabs>
        <w:spacing w:line="240" w:lineRule="auto"/>
        <w:jc w:val="both"/>
      </w:pPr>
    </w:p>
    <w:p w:rsidR="00BD1576" w:rsidRDefault="00BD1576" w:rsidP="000C0861">
      <w:pPr>
        <w:tabs>
          <w:tab w:val="left" w:pos="3143"/>
        </w:tabs>
        <w:spacing w:line="240" w:lineRule="auto"/>
        <w:jc w:val="both"/>
      </w:pPr>
    </w:p>
    <w:p w:rsidR="00BD1576" w:rsidRDefault="00BD1576" w:rsidP="000C0861">
      <w:pPr>
        <w:tabs>
          <w:tab w:val="left" w:pos="3143"/>
        </w:tabs>
        <w:spacing w:line="240" w:lineRule="auto"/>
        <w:jc w:val="both"/>
      </w:pPr>
    </w:p>
    <w:p w:rsidR="00BD1576" w:rsidRPr="00450180" w:rsidRDefault="00BD1576" w:rsidP="00BD1576">
      <w:pPr>
        <w:tabs>
          <w:tab w:val="left" w:pos="3143"/>
        </w:tabs>
        <w:spacing w:line="240" w:lineRule="auto"/>
        <w:jc w:val="center"/>
      </w:pPr>
      <w:r>
        <w:t>______________</w:t>
      </w:r>
    </w:p>
    <w:sectPr w:rsidR="00BD1576" w:rsidRPr="00450180" w:rsidSect="00F029A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EB5" w:rsidRDefault="009F6EB5" w:rsidP="00A659EB">
      <w:pPr>
        <w:spacing w:after="0" w:line="240" w:lineRule="auto"/>
      </w:pPr>
      <w:r>
        <w:separator/>
      </w:r>
    </w:p>
  </w:endnote>
  <w:endnote w:type="continuationSeparator" w:id="0">
    <w:p w:rsidR="009F6EB5" w:rsidRDefault="009F6EB5" w:rsidP="00A65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9EB" w:rsidRDefault="009F6EB5">
    <w:pPr>
      <w:pStyle w:val="Pieddepage"/>
    </w:pPr>
    <w:r>
      <w:rPr>
        <w:noProof/>
        <w:lang w:eastAsia="fr-FR"/>
      </w:rPr>
      <w:pict w14:anchorId="0C4087ED">
        <v:rect id="Rectangle 2" o:spid="_x0000_s2049" style="position:absolute;margin-left:114.45pt;margin-top:-15.45pt;width:224.1pt;height:41.3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Pc8nAIAAKcFAAAOAAAAZHJzL2Uyb0RvYy54bWysVE1v2zAMvQ/YfxB0X+14aZsGdYqgRYcB&#10;RVu0HXpWZCk2IImapMTJfv0oyXE/Vuww7CKLIvlIPpM8v9hpRbbC+Q5MTSdHJSXCcGg6s67pj6fr&#10;LzNKfGCmYQqMqOleeHqx+PzpvLdzUUELqhGOIIjx897WtA3BzovC81Zo5o/ACoNKCU6zgKJbF41j&#10;PaJrVVRleVL04BrrgAvv8fUqK+ki4UspeLiT0otAVE0xt5BOl85VPIvFOZuvHbNtx4c02D9koVln&#10;MOgIdcUCIxvX/QGlO+7AgwxHHHQBUnZcpBqwmkn5rprHllmRakFyvB1p8v8Plt9u7x3pmppWlBim&#10;8Rc9IGnMrJUgVaSnt36OVo/23g2Sx2usdSedjl+sguwSpfuRUrELhONjNZuelKfIPEfdcTWdTScR&#10;tHjxts6HbwI0iZeaOoyemGTbGx+y6cEkBvOguua6UyoJsU3EpXJky/AHr9aT7Kpsy/LT11lZpr+M&#10;EVNTResU/w2QMhHOQATOMeNLEWvP1aZb2CsR7ZR5EBJJi/WlgCNyDso4FybkXHzLGpGfjzGVj3NJ&#10;gBFZYvwRewB4W+MBO2c52EdXkbp9dC7/llh2Hj1SZDBhdNadAfcRgMKqhsjZ/kBSpiaytIJmjy3l&#10;IM+at/y6wz97w3y4Zw6HC5sBF0a4w0Mq6GsKw42SFtyvj96jPfY8ainpcVhr6n9umBOUqO8Gp+Fs&#10;Mp3G6U7C9Pi0QsG91qxea8xGXwK2ywRXk+XpGu2DOlylA/2Me2UZo6KKGY6xa8qDOwiXIS8R3Exc&#10;LJfJDCfasnBjHi2P4JHV2LlPu2fm7NDeAQfjFg6DzebvujzbRk8Dy00A2aUReOF14Bu3QWriYXPF&#10;dfNaTlYv+3XxGwAA//8DAFBLAwQUAAYACAAAACEAQDTuaOIAAAAKAQAADwAAAGRycy9kb3ducmV2&#10;LnhtbEyPwU7CQBCG7ya+w2ZMvMG2NUCp3RJiwIuJEZCDt6Uduo3d2dpdSn17x5PeZjJf/vn+fDXa&#10;VgzY+8aRgngagUAqXdVQreD9sJ2kIHzQVOnWESr4Rg+r4vYm11nlrrTDYR9qwSHkM63AhNBlUvrS&#10;oNV+6jokvp1db3Xgta9l1esrh9tWJlE0l1Y3xB+M7vDJYPm5v1gFL+e33Wa7Ph42gzf248vYV5w9&#10;K3V/N64fQQQcwx8Mv/qsDgU7ndyFKi9aBUmSLhlVMHmIeGBivljEIE4KZnEKssjl/wrFDwAAAP//&#10;AwBQSwECLQAUAAYACAAAACEAtoM4kv4AAADhAQAAEwAAAAAAAAAAAAAAAAAAAAAAW0NvbnRlbnRf&#10;VHlwZXNdLnhtbFBLAQItABQABgAIAAAAIQA4/SH/1gAAAJQBAAALAAAAAAAAAAAAAAAAAC8BAABf&#10;cmVscy8ucmVsc1BLAQItABQABgAIAAAAIQBDaPc8nAIAAKcFAAAOAAAAAAAAAAAAAAAAAC4CAABk&#10;cnMvZTJvRG9jLnhtbFBLAQItABQABgAIAAAAIQBANO5o4gAAAAoBAAAPAAAAAAAAAAAAAAAAAPYE&#10;AABkcnMvZG93bnJldi54bWxQSwUGAAAAAAQABADzAAAABQYAAAAA&#10;" fillcolor="white [3212]" stroked="f" strokeweight="1pt">
          <v:fill opacity="24929f"/>
        </v:rect>
      </w:pict>
    </w:r>
    <w:r w:rsidR="00A659EB" w:rsidRPr="00A659EB">
      <w:rPr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-193012</wp:posOffset>
          </wp:positionV>
          <wp:extent cx="2846567" cy="517306"/>
          <wp:effectExtent l="0" t="0" r="0" b="0"/>
          <wp:wrapNone/>
          <wp:docPr id="1" name="Image 1" descr="D:\Mes_documents_locaux\Pictures\Site web\FranceHadron entte docu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es_documents_locaux\Pictures\Site web\FranceHadron entte documen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6567" cy="517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EB5" w:rsidRDefault="009F6EB5" w:rsidP="00A659EB">
      <w:pPr>
        <w:spacing w:after="0" w:line="240" w:lineRule="auto"/>
      </w:pPr>
      <w:r>
        <w:separator/>
      </w:r>
    </w:p>
  </w:footnote>
  <w:footnote w:type="continuationSeparator" w:id="0">
    <w:p w:rsidR="009F6EB5" w:rsidRDefault="009F6EB5" w:rsidP="00A65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314D85"/>
    <w:multiLevelType w:val="hybridMultilevel"/>
    <w:tmpl w:val="A3B602C8"/>
    <w:lvl w:ilvl="0" w:tplc="2870D6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37640D"/>
    <w:multiLevelType w:val="hybridMultilevel"/>
    <w:tmpl w:val="A836B3F4"/>
    <w:lvl w:ilvl="0" w:tplc="F8BCF0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228E"/>
    <w:rsid w:val="00042CE7"/>
    <w:rsid w:val="000C0861"/>
    <w:rsid w:val="000E2851"/>
    <w:rsid w:val="00207033"/>
    <w:rsid w:val="00254301"/>
    <w:rsid w:val="00254914"/>
    <w:rsid w:val="003B6484"/>
    <w:rsid w:val="00450180"/>
    <w:rsid w:val="00477F71"/>
    <w:rsid w:val="00497E78"/>
    <w:rsid w:val="00541B45"/>
    <w:rsid w:val="00570793"/>
    <w:rsid w:val="005C27B7"/>
    <w:rsid w:val="005D2830"/>
    <w:rsid w:val="006538E5"/>
    <w:rsid w:val="0069280E"/>
    <w:rsid w:val="006972F8"/>
    <w:rsid w:val="0075082F"/>
    <w:rsid w:val="007E3A37"/>
    <w:rsid w:val="008107EF"/>
    <w:rsid w:val="00827D94"/>
    <w:rsid w:val="008568CE"/>
    <w:rsid w:val="00857195"/>
    <w:rsid w:val="00866AF7"/>
    <w:rsid w:val="0088027F"/>
    <w:rsid w:val="008E787B"/>
    <w:rsid w:val="009E044B"/>
    <w:rsid w:val="009F6EB5"/>
    <w:rsid w:val="00A659EB"/>
    <w:rsid w:val="00AA7968"/>
    <w:rsid w:val="00B153D7"/>
    <w:rsid w:val="00B82BD0"/>
    <w:rsid w:val="00B83AD2"/>
    <w:rsid w:val="00BC62EB"/>
    <w:rsid w:val="00BD1576"/>
    <w:rsid w:val="00BD1C7E"/>
    <w:rsid w:val="00C41AC9"/>
    <w:rsid w:val="00CC1A7D"/>
    <w:rsid w:val="00CD14AC"/>
    <w:rsid w:val="00E03A25"/>
    <w:rsid w:val="00E20116"/>
    <w:rsid w:val="00E9228E"/>
    <w:rsid w:val="00EA1F9A"/>
    <w:rsid w:val="00EE42C2"/>
    <w:rsid w:val="00F029A5"/>
    <w:rsid w:val="00F04BAD"/>
    <w:rsid w:val="00F329F7"/>
    <w:rsid w:val="00F41CEE"/>
    <w:rsid w:val="00F5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92AC7E90-D6BF-4124-B3C7-BAD266019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9A5"/>
  </w:style>
  <w:style w:type="paragraph" w:styleId="Titre1">
    <w:name w:val="heading 1"/>
    <w:basedOn w:val="Normal"/>
    <w:next w:val="Normal"/>
    <w:link w:val="Titre1Car"/>
    <w:uiPriority w:val="9"/>
    <w:qFormat/>
    <w:rsid w:val="00A659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659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65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659EB"/>
  </w:style>
  <w:style w:type="paragraph" w:styleId="Pieddepage">
    <w:name w:val="footer"/>
    <w:basedOn w:val="Normal"/>
    <w:link w:val="PieddepageCar"/>
    <w:uiPriority w:val="99"/>
    <w:unhideWhenUsed/>
    <w:rsid w:val="00A65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659EB"/>
  </w:style>
  <w:style w:type="character" w:customStyle="1" w:styleId="Titre1Car">
    <w:name w:val="Titre 1 Car"/>
    <w:basedOn w:val="Policepardfaut"/>
    <w:link w:val="Titre1"/>
    <w:uiPriority w:val="9"/>
    <w:rsid w:val="00A659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A659E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8E787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C2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27B7"/>
    <w:rPr>
      <w:rFonts w:ascii="Segoe UI" w:hAnsi="Segoe UI" w:cs="Segoe UI"/>
      <w:sz w:val="18"/>
      <w:szCs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5C27B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C27B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C27B7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C27B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C27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8A89F-0CCD-4A22-9A3D-E703D388D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1284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IN2P3</Company>
  <LinksUpToDate>false</LinksUpToDate>
  <CharactersWithSpaces>8335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Jean-Charles Blouzard</dc:creator>
  <cp:keywords/>
  <dc:description/>
  <cp:lastModifiedBy>Jean-Charles Blouzard</cp:lastModifiedBy>
  <cp:revision>16</cp:revision>
  <cp:lastPrinted>2015-04-23T10:18:00Z</cp:lastPrinted>
  <dcterms:created xsi:type="dcterms:W3CDTF">2015-05-06T17:27:00Z</dcterms:created>
  <dcterms:modified xsi:type="dcterms:W3CDTF">2015-05-29T09:08:00Z</dcterms:modified>
</cp:coreProperties>
</file>